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9.gif" ContentType="image/gif"/>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540" w:before="0" w:after="0"/>
        <w:jc w:val="center"/>
        <w:rPr>
          <w:rFonts w:ascii="Calibri" w:hAnsi="Calibri" w:eastAsia="超研澤魏碑體" w:cs="Times New Roman"/>
          <w:kern w:val="2"/>
          <w:sz w:val="48"/>
          <w:szCs w:val="24"/>
          <w:lang w:eastAsia="zh-TW"/>
        </w:rPr>
      </w:pPr>
      <w:r>
        <w:rPr>
          <w:rFonts w:ascii="DFKai-SB" w:hAnsi="DFKai-SB" w:cs="Times New Roman" w:eastAsia="DFKai-SB"/>
          <w:b/>
          <w:kern w:val="2"/>
          <w:sz w:val="48"/>
          <w:szCs w:val="20"/>
          <w:lang w:eastAsia="zh-TW"/>
        </w:rPr>
        <w:t>元     智     大     學</w:t>
      </w:r>
    </w:p>
    <w:p>
      <w:pPr>
        <w:pStyle w:val="Normal"/>
        <w:spacing w:lineRule="auto" w:line="540" w:before="0" w:after="0"/>
        <w:jc w:val="center"/>
        <w:rPr>
          <w:rFonts w:eastAsia="DFLiHeiBold" w:cs="Times New Roman"/>
          <w:kern w:val="2"/>
          <w:sz w:val="48"/>
          <w:szCs w:val="24"/>
          <w:lang w:eastAsia="zh-TW"/>
        </w:rPr>
      </w:pPr>
      <w:r>
        <w:rPr>
          <w:rFonts w:ascii="DFKai-SB" w:hAnsi="DFKai-SB" w:cs="Times New Roman" w:eastAsia="DFKai-SB"/>
          <w:kern w:val="2"/>
          <w:sz w:val="56"/>
          <w:szCs w:val="20"/>
          <w:lang w:eastAsia="zh-TW"/>
        </w:rPr>
        <w:t>資 訊 工 程 學 系</w:t>
      </w:r>
    </w:p>
    <w:p>
      <w:pPr>
        <w:pStyle w:val="Normal"/>
        <w:snapToGrid w:val="false"/>
        <w:spacing w:lineRule="auto" w:line="360" w:before="0" w:after="0"/>
        <w:jc w:val="center"/>
        <w:rPr>
          <w:rFonts w:eastAsia="DFKai-SB" w:cs="Times New Roman"/>
          <w:kern w:val="2"/>
          <w:sz w:val="56"/>
          <w:szCs w:val="56"/>
          <w:lang w:eastAsia="zh-TW"/>
        </w:rPr>
      </w:pPr>
      <w:r>
        <w:rPr>
          <w:rFonts w:ascii="DFKai-SB" w:hAnsi="DFKai-SB" w:cs="Times New Roman" w:eastAsia="DFKai-SB"/>
          <w:kern w:val="2"/>
          <w:sz w:val="48"/>
          <w:szCs w:val="24"/>
          <w:lang w:eastAsia="zh-TW"/>
        </w:rPr>
        <w:t>碩  士  論  文</w:t>
      </w:r>
    </w:p>
    <w:p>
      <w:pPr>
        <w:pStyle w:val="NoSpacing"/>
        <w:spacing w:lineRule="auto" w:line="360"/>
        <w:jc w:val="center"/>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r>
    </w:p>
    <w:p>
      <w:pPr>
        <w:pStyle w:val="NoSpacing"/>
        <w:spacing w:lineRule="auto" w:line="360"/>
        <w:jc w:val="center"/>
        <w:rPr/>
      </w:pPr>
      <w:r>
        <w:rPr>
          <w:rFonts w:eastAsia="DFKai-SB" w:cs="Times New Roman" w:ascii="Times New Roman" w:hAnsi="Times New Roman"/>
          <w:b/>
          <w:bCs/>
          <w:sz w:val="40"/>
          <w:szCs w:val="40"/>
          <w:lang w:eastAsia="zh-TW"/>
        </w:rPr>
        <w:t>Going Deeper with Convolutional Neural Network for Stock Market Prediction</w:t>
      </w:r>
    </w:p>
    <w:p>
      <w:pPr>
        <w:pStyle w:val="NoSpacing"/>
        <w:tabs>
          <w:tab w:val="left" w:pos="6510" w:leader="none"/>
        </w:tabs>
        <w:spacing w:lineRule="auto" w:line="360"/>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tab/>
      </w:r>
    </w:p>
    <w:p>
      <w:pPr>
        <w:pStyle w:val="NoSpacing"/>
        <w:tabs>
          <w:tab w:val="left" w:pos="6510" w:leader="none"/>
        </w:tabs>
        <w:spacing w:lineRule="auto" w:line="360"/>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r>
    </w:p>
    <w:p>
      <w:pPr>
        <w:pStyle w:val="NoSpacing"/>
        <w:spacing w:lineRule="auto" w:line="360"/>
        <w:jc w:val="center"/>
        <w:rPr/>
      </w:pPr>
      <w:r>
        <w:rPr>
          <w:rFonts w:ascii="Times New Roman" w:hAnsi="Times New Roman" w:cs="Times New Roman" w:eastAsia="DFKai-SB"/>
          <w:sz w:val="36"/>
          <w:szCs w:val="36"/>
          <w:lang w:eastAsia="zh-TW"/>
        </w:rPr>
        <w:t>研 究 生：</w:t>
      </w:r>
      <w:r>
        <w:rPr>
          <w:rFonts w:ascii="DFKai-SB" w:hAnsi="DFKai-SB" w:cs="Times New Roman" w:eastAsia="DFKai-SB"/>
          <w:sz w:val="36"/>
          <w:szCs w:val="36"/>
          <w:lang w:eastAsia="zh-TW"/>
        </w:rPr>
        <w:t>郭祿丁</w:t>
      </w:r>
    </w:p>
    <w:p>
      <w:pPr>
        <w:pStyle w:val="NoSpacing"/>
        <w:spacing w:lineRule="auto" w:line="360"/>
        <w:jc w:val="center"/>
        <w:rPr>
          <w:rFonts w:ascii="Times New Roman" w:hAnsi="Times New Roman" w:eastAsia="DFKai-SB" w:cs="Times New Roman"/>
          <w:sz w:val="36"/>
          <w:szCs w:val="36"/>
          <w:lang w:eastAsia="zh-TW"/>
        </w:rPr>
      </w:pPr>
      <w:r>
        <w:rPr>
          <w:rFonts w:ascii="Times New Roman" w:hAnsi="Times New Roman" w:cs="Times New Roman" w:eastAsia="DFKai-SB"/>
          <w:sz w:val="36"/>
          <w:szCs w:val="36"/>
          <w:lang w:eastAsia="zh-TW"/>
        </w:rPr>
        <w:t>指導教授：歐昱言   博士</w:t>
      </w:r>
    </w:p>
    <w:p>
      <w:pPr>
        <w:pStyle w:val="NoSpacing"/>
        <w:spacing w:lineRule="auto" w:line="360"/>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r>
    </w:p>
    <w:p>
      <w:pPr>
        <w:pStyle w:val="NoSpacing"/>
        <w:spacing w:lineRule="auto" w:line="360"/>
        <w:jc w:val="center"/>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r>
    </w:p>
    <w:p>
      <w:pPr>
        <w:pStyle w:val="NoSpacing"/>
        <w:spacing w:lineRule="auto" w:line="360"/>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r>
    </w:p>
    <w:p>
      <w:pPr>
        <w:pStyle w:val="NoSpacing"/>
        <w:spacing w:lineRule="auto" w:line="360"/>
        <w:jc w:val="center"/>
        <w:rPr/>
      </w:pPr>
      <w:r>
        <w:rPr>
          <w:rFonts w:ascii="Times New Roman" w:hAnsi="Times New Roman" w:eastAsia="DFKai-SB"/>
          <w:sz w:val="36"/>
          <w:szCs w:val="36"/>
          <w:lang w:eastAsia="zh-TW"/>
        </w:rPr>
        <w:t xml:space="preserve">中華民國   </w:t>
      </w:r>
      <w:r>
        <w:rPr>
          <w:rFonts w:eastAsia="DFKai-SB" w:ascii="Times New Roman" w:hAnsi="Times New Roman"/>
          <w:sz w:val="36"/>
          <w:szCs w:val="36"/>
          <w:lang w:eastAsia="zh-TW"/>
        </w:rPr>
        <w:t>10</w:t>
      </w:r>
      <w:r>
        <w:rPr>
          <w:rFonts w:eastAsia="DFKai-SB" w:ascii="Times New Roman" w:hAnsi="Times New Roman"/>
          <w:sz w:val="36"/>
          <w:szCs w:val="36"/>
          <w:lang w:eastAsia="zh-TW"/>
        </w:rPr>
        <w:t>8</w:t>
      </w:r>
      <w:r>
        <w:rPr>
          <w:rFonts w:eastAsia="DFKai-SB" w:ascii="Times New Roman" w:hAnsi="Times New Roman"/>
          <w:sz w:val="36"/>
          <w:szCs w:val="36"/>
          <w:lang w:eastAsia="zh-TW"/>
        </w:rPr>
        <w:t xml:space="preserve">   </w:t>
      </w:r>
      <w:r>
        <w:rPr>
          <w:rFonts w:ascii="Times New Roman" w:hAnsi="Times New Roman" w:eastAsia="DFKai-SB"/>
          <w:sz w:val="36"/>
          <w:szCs w:val="36"/>
          <w:lang w:eastAsia="zh-TW"/>
        </w:rPr>
        <w:t xml:space="preserve">年   </w:t>
      </w:r>
      <w:r>
        <w:rPr>
          <w:rFonts w:eastAsia="DFKai-SB" w:ascii="Times New Roman" w:hAnsi="Times New Roman"/>
          <w:sz w:val="36"/>
          <w:szCs w:val="36"/>
          <w:lang w:eastAsia="zh-TW"/>
        </w:rPr>
        <w:t xml:space="preserve">3   </w:t>
      </w:r>
      <w:r>
        <w:rPr>
          <w:rFonts w:ascii="Times New Roman" w:hAnsi="Times New Roman" w:eastAsia="DFKai-SB"/>
          <w:sz w:val="36"/>
          <w:szCs w:val="36"/>
          <w:lang w:eastAsia="zh-TW"/>
        </w:rPr>
        <w:t>月</w:t>
      </w:r>
      <w:bookmarkStart w:id="0" w:name="OLE_LINK3"/>
      <w:bookmarkStart w:id="1" w:name="OLE_LINK2"/>
      <w:bookmarkStart w:id="2" w:name="OLE_LINK1"/>
      <w:bookmarkEnd w:id="0"/>
      <w:bookmarkEnd w:id="1"/>
      <w:bookmarkEnd w:id="2"/>
    </w:p>
    <w:p>
      <w:pPr>
        <w:sectPr>
          <w:headerReference w:type="default" r:id="rId2"/>
          <w:footerReference w:type="default" r:id="rId3"/>
          <w:type w:val="nextPage"/>
          <w:pgSz w:w="11906" w:h="16838"/>
          <w:pgMar w:left="2268" w:right="1134" w:header="720" w:top="1985" w:footer="720" w:bottom="1134" w:gutter="0"/>
          <w:pgNumType w:start="1" w:fmt="lowerRoman"/>
          <w:formProt w:val="false"/>
          <w:titlePg/>
          <w:textDirection w:val="lrTb"/>
          <w:docGrid w:type="default" w:linePitch="360" w:charSpace="0"/>
        </w:sectPr>
      </w:pPr>
    </w:p>
    <w:p>
      <w:pPr>
        <w:pStyle w:val="NoSpacing"/>
        <w:spacing w:lineRule="auto" w:line="360"/>
        <w:jc w:val="center"/>
        <w:rPr/>
      </w:pPr>
      <w:r>
        <w:rPr>
          <w:rFonts w:eastAsia="DFKai-SB" w:cs="Times New Roman" w:ascii="Times New Roman" w:hAnsi="Times New Roman"/>
          <w:b/>
          <w:bCs/>
          <w:sz w:val="40"/>
          <w:szCs w:val="40"/>
          <w:lang w:eastAsia="zh-TW"/>
        </w:rPr>
        <w:t>Going Deeper with Convolutional Neural Network for Stock Market Prediction</w:t>
      </w:r>
    </w:p>
    <w:p>
      <w:pPr>
        <w:pStyle w:val="NoSpacing"/>
        <w:spacing w:lineRule="auto" w:line="360"/>
        <w:jc w:val="both"/>
        <w:rPr>
          <w:rFonts w:ascii="Times New Roman" w:hAnsi="Times New Roman" w:eastAsia="DFKai-SB" w:cs="Times New Roman"/>
          <w:b/>
          <w:b/>
          <w:sz w:val="32"/>
          <w:szCs w:val="32"/>
          <w:lang w:eastAsia="zh-TW"/>
        </w:rPr>
      </w:pPr>
      <w:r>
        <w:rPr>
          <w:rFonts w:eastAsia="DFKai-SB" w:cs="Times New Roman" w:ascii="Times New Roman" w:hAnsi="Times New Roman"/>
          <w:b/>
          <w:sz w:val="32"/>
          <w:szCs w:val="32"/>
          <w:lang w:eastAsia="zh-TW"/>
        </w:rPr>
      </w:r>
    </w:p>
    <w:p>
      <w:pPr>
        <w:pStyle w:val="NoSpacing"/>
        <w:spacing w:lineRule="auto" w:line="360"/>
        <w:jc w:val="both"/>
        <w:rPr>
          <w:rFonts w:ascii="Times New Roman" w:hAnsi="Times New Roman" w:eastAsia="DFKai-SB" w:cs="Times New Roman"/>
          <w:b/>
          <w:b/>
          <w:sz w:val="32"/>
          <w:szCs w:val="32"/>
          <w:lang w:eastAsia="zh-TW"/>
        </w:rPr>
      </w:pPr>
      <w:r>
        <w:rPr>
          <w:rFonts w:eastAsia="DFKai-SB" w:cs="Times New Roman" w:ascii="Times New Roman" w:hAnsi="Times New Roman"/>
          <w:b/>
          <w:sz w:val="32"/>
          <w:szCs w:val="32"/>
          <w:lang w:eastAsia="zh-TW"/>
        </w:rPr>
      </w:r>
    </w:p>
    <w:p>
      <w:pPr>
        <w:pStyle w:val="Default"/>
        <w:spacing w:lineRule="auto" w:line="360"/>
        <w:jc w:val="both"/>
        <w:rPr/>
      </w:pPr>
      <w:r>
        <w:rPr>
          <w:sz w:val="28"/>
          <w:szCs w:val="28"/>
        </w:rPr>
        <w:t>研  究   生 ：郭祿丁</w:t>
      </w:r>
      <w:r>
        <w:rPr>
          <w:rFonts w:cs="Times New Roman"/>
          <w:sz w:val="28"/>
        </w:rPr>
        <w:tab/>
      </w:r>
      <w:r>
        <w:rPr>
          <w:rFonts w:eastAsia="宋体" w:cs="Times New Roman" w:ascii="Times New Roman" w:hAnsi="Times New Roman" w:eastAsiaTheme="minorEastAsia"/>
          <w:sz w:val="28"/>
          <w:szCs w:val="28"/>
        </w:rPr>
        <w:t xml:space="preserve">Student : </w:t>
      </w:r>
      <w:r>
        <w:rPr>
          <w:rFonts w:eastAsia="PMingLiU" w:cs="Times New Roman" w:ascii="Times New Roman" w:hAnsi="Times New Roman"/>
          <w:sz w:val="28"/>
          <w:szCs w:val="28"/>
        </w:rPr>
        <w:t>Rosdyana Mangir Irawan Kusuma</w:t>
      </w:r>
    </w:p>
    <w:p>
      <w:pPr>
        <w:pStyle w:val="Default"/>
        <w:spacing w:lineRule="auto" w:line="360"/>
        <w:jc w:val="both"/>
        <w:rPr>
          <w:rFonts w:ascii="Times New Roman" w:hAnsi="Times New Roman" w:eastAsia="宋体" w:cs="Times New Roman" w:eastAsiaTheme="minorEastAsia"/>
          <w:sz w:val="28"/>
          <w:szCs w:val="28"/>
        </w:rPr>
      </w:pPr>
      <w:r>
        <w:rPr>
          <w:sz w:val="28"/>
          <w:szCs w:val="28"/>
        </w:rPr>
        <w:t>指 導 教 授 ：</w:t>
      </w:r>
      <w:r>
        <w:rPr>
          <w:rFonts w:ascii="Times New Roman" w:hAnsi="Times New Roman" w:cs="Times New Roman"/>
          <w:sz w:val="28"/>
          <w:szCs w:val="28"/>
          <w:lang w:eastAsia="zh-TW"/>
        </w:rPr>
        <w:t>歐  昱  言   博士</w:t>
      </w:r>
      <w:r>
        <w:rPr>
          <w:rFonts w:cs="Times New Roman" w:ascii="Times New Roman" w:hAnsi="Times New Roman"/>
          <w:sz w:val="28"/>
          <w:szCs w:val="28"/>
          <w:lang w:eastAsia="zh-TW"/>
        </w:rPr>
        <w:tab/>
        <w:t xml:space="preserve">        </w:t>
      </w:r>
      <w:r>
        <w:rPr>
          <w:rFonts w:eastAsia="宋体" w:cs="Times New Roman" w:ascii="Times New Roman" w:hAnsi="Times New Roman" w:eastAsiaTheme="minorEastAsia"/>
          <w:sz w:val="28"/>
          <w:szCs w:val="28"/>
        </w:rPr>
        <w:t>Advisor : Dr. Yu-Yen Ou</w:t>
      </w:r>
    </w:p>
    <w:p>
      <w:pPr>
        <w:pStyle w:val="Normal"/>
        <w:spacing w:lineRule="auto" w:line="360" w:before="0" w:after="0"/>
        <w:rPr>
          <w:rFonts w:eastAsia="DFKai-SB" w:cs="Times New Roman"/>
          <w:color w:val="000000"/>
          <w:sz w:val="32"/>
          <w:szCs w:val="36"/>
          <w:lang w:eastAsia="zh-TW"/>
        </w:rPr>
      </w:pPr>
      <w:r>
        <w:rPr>
          <w:rFonts w:eastAsia="DFKai-SB" w:cs="Times New Roman"/>
          <w:color w:val="000000"/>
          <w:sz w:val="32"/>
          <w:szCs w:val="36"/>
          <w:lang w:eastAsia="zh-TW"/>
        </w:rPr>
      </w:r>
    </w:p>
    <w:p>
      <w:pPr>
        <w:pStyle w:val="NoSpacing"/>
        <w:spacing w:lineRule="auto" w:line="360"/>
        <w:jc w:val="center"/>
        <w:rPr>
          <w:rFonts w:ascii="Times New Roman" w:hAnsi="Times New Roman" w:eastAsia="DFKai-SB" w:cs="Times New Roman"/>
          <w:sz w:val="32"/>
          <w:szCs w:val="32"/>
          <w:lang w:eastAsia="zh-TW"/>
        </w:rPr>
      </w:pPr>
      <w:r>
        <w:rPr>
          <w:rFonts w:ascii="Times New Roman" w:hAnsi="Times New Roman" w:cs="Times New Roman" w:eastAsia="DFKai-SB"/>
          <w:sz w:val="32"/>
          <w:szCs w:val="32"/>
          <w:lang w:eastAsia="zh-TW"/>
        </w:rPr>
        <w:t>元     智     大     學</w:t>
      </w:r>
    </w:p>
    <w:p>
      <w:pPr>
        <w:pStyle w:val="NoSpacing"/>
        <w:spacing w:lineRule="auto" w:line="360"/>
        <w:jc w:val="center"/>
        <w:rPr>
          <w:rFonts w:ascii="Times New Roman" w:hAnsi="Times New Roman" w:eastAsia="DFKai-SB" w:cs="Times New Roman"/>
          <w:sz w:val="32"/>
          <w:szCs w:val="32"/>
          <w:lang w:eastAsia="zh-TW"/>
        </w:rPr>
      </w:pPr>
      <w:r>
        <w:rPr>
          <w:rFonts w:ascii="Times New Roman" w:hAnsi="Times New Roman" w:cs="Times New Roman" w:eastAsia="DFKai-SB"/>
          <w:sz w:val="32"/>
          <w:szCs w:val="32"/>
          <w:lang w:eastAsia="zh-TW"/>
        </w:rPr>
        <w:t>資  訊  工  程  學  系</w:t>
      </w:r>
    </w:p>
    <w:p>
      <w:pPr>
        <w:pStyle w:val="NoSpacing"/>
        <w:spacing w:lineRule="auto" w:line="360"/>
        <w:jc w:val="center"/>
        <w:rPr>
          <w:rFonts w:ascii="Times New Roman" w:hAnsi="Times New Roman" w:eastAsia="DFKai-SB" w:cs="Times New Roman"/>
          <w:sz w:val="32"/>
          <w:szCs w:val="32"/>
          <w:lang w:eastAsia="zh-TW"/>
        </w:rPr>
      </w:pPr>
      <w:r>
        <w:rPr>
          <w:rFonts w:ascii="Times New Roman" w:hAnsi="Times New Roman" w:cs="Times New Roman" w:eastAsia="DFKai-SB"/>
          <w:sz w:val="32"/>
          <w:szCs w:val="32"/>
          <w:lang w:eastAsia="zh-TW"/>
        </w:rPr>
        <w:t>碩  士  論  文</w:t>
      </w:r>
    </w:p>
    <w:p>
      <w:pPr>
        <w:pStyle w:val="NoSpacing"/>
        <w:spacing w:lineRule="auto" w:line="360"/>
        <w:jc w:val="center"/>
        <w:rPr>
          <w:rFonts w:ascii="Times New Roman" w:hAnsi="Times New Roman" w:eastAsia="DFKai-SB" w:cs="Times New Roman"/>
          <w:sz w:val="32"/>
          <w:szCs w:val="32"/>
          <w:lang w:eastAsia="zh-TW"/>
        </w:rPr>
      </w:pPr>
      <w:r>
        <w:rPr>
          <w:rFonts w:eastAsia="DFKai-SB" w:cs="Times New Roman" w:ascii="Times New Roman" w:hAnsi="Times New Roman"/>
          <w:sz w:val="32"/>
          <w:szCs w:val="32"/>
          <w:lang w:eastAsia="zh-TW"/>
        </w:rPr>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A Thesis</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Submitted to Department of Computer Science and Engineering</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Yuan Ze University</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in Partial Fulfillment of the Requirements</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for the Degree of Master of Science</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in</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Computer Science and Engineering</w:t>
      </w:r>
    </w:p>
    <w:p>
      <w:pPr>
        <w:pStyle w:val="NoSpacing"/>
        <w:spacing w:lineRule="auto" w:line="360"/>
        <w:jc w:val="center"/>
        <w:rPr/>
      </w:pPr>
      <w:r>
        <w:rPr>
          <w:rFonts w:cs="Times New Roman" w:ascii="Times New Roman" w:hAnsi="Times New Roman"/>
          <w:sz w:val="24"/>
          <w:szCs w:val="24"/>
          <w:lang w:eastAsia="zh-TW"/>
        </w:rPr>
        <w:t>March 201</w:t>
      </w:r>
      <w:r>
        <w:rPr>
          <w:rFonts w:cs="Times New Roman" w:ascii="Times New Roman" w:hAnsi="Times New Roman"/>
          <w:sz w:val="24"/>
          <w:szCs w:val="24"/>
          <w:lang w:eastAsia="zh-TW"/>
        </w:rPr>
        <w:t>8</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Chungli, Taiwan, Republic of China.</w:t>
      </w:r>
    </w:p>
    <w:p>
      <w:pPr>
        <w:pStyle w:val="NoSpacing"/>
        <w:spacing w:lineRule="auto" w:line="360"/>
        <w:jc w:val="center"/>
        <w:rPr>
          <w:rFonts w:ascii="Times New Roman" w:hAnsi="Times New Roman" w:cs="Times New Roman"/>
          <w:sz w:val="32"/>
          <w:szCs w:val="32"/>
          <w:lang w:eastAsia="zh-TW"/>
        </w:rPr>
      </w:pPr>
      <w:r>
        <w:rPr>
          <w:rFonts w:cs="Times New Roman" w:ascii="Times New Roman" w:hAnsi="Times New Roman"/>
          <w:sz w:val="32"/>
          <w:szCs w:val="32"/>
          <w:lang w:eastAsia="zh-TW"/>
        </w:rPr>
      </w:r>
    </w:p>
    <w:p>
      <w:pPr>
        <w:pStyle w:val="NoSpacing"/>
        <w:spacing w:lineRule="auto" w:line="360"/>
        <w:jc w:val="center"/>
        <w:rPr>
          <w:rFonts w:ascii="Times New Roman" w:hAnsi="Times New Roman" w:cs="Times New Roman"/>
          <w:sz w:val="32"/>
          <w:szCs w:val="32"/>
          <w:lang w:eastAsia="zh-TW"/>
        </w:rPr>
      </w:pPr>
      <w:r>
        <w:rPr>
          <w:rFonts w:cs="Times New Roman" w:ascii="Times New Roman" w:hAnsi="Times New Roman"/>
          <w:sz w:val="32"/>
          <w:szCs w:val="32"/>
          <w:lang w:eastAsia="zh-TW"/>
        </w:rPr>
      </w:r>
    </w:p>
    <w:p>
      <w:pPr>
        <w:pStyle w:val="NoSpacing"/>
        <w:spacing w:lineRule="auto" w:line="360"/>
        <w:jc w:val="center"/>
        <w:rPr/>
      </w:pPr>
      <w:r>
        <w:rPr>
          <w:rFonts w:ascii="Times New Roman" w:hAnsi="Times New Roman" w:eastAsia="DFKai-SB"/>
          <w:sz w:val="28"/>
          <w:szCs w:val="36"/>
          <w:lang w:eastAsia="zh-TW"/>
        </w:rPr>
        <w:t xml:space="preserve">中華民國 </w:t>
      </w:r>
      <w:r>
        <w:rPr>
          <w:rFonts w:eastAsia="DFKai-SB" w:ascii="Times New Roman" w:hAnsi="Times New Roman"/>
          <w:sz w:val="28"/>
          <w:szCs w:val="36"/>
          <w:lang w:eastAsia="zh-TW"/>
        </w:rPr>
        <w:t>10</w:t>
      </w:r>
      <w:r>
        <w:rPr>
          <w:rFonts w:eastAsia="DFKai-SB" w:ascii="Times New Roman" w:hAnsi="Times New Roman"/>
          <w:sz w:val="28"/>
          <w:szCs w:val="36"/>
          <w:lang w:eastAsia="zh-TW"/>
        </w:rPr>
        <w:t>8</w:t>
      </w:r>
      <w:r>
        <w:rPr>
          <w:rFonts w:eastAsia="DFKai-SB" w:ascii="Times New Roman" w:hAnsi="Times New Roman"/>
          <w:sz w:val="28"/>
          <w:szCs w:val="36"/>
          <w:lang w:eastAsia="zh-TW"/>
        </w:rPr>
        <w:t xml:space="preserve"> </w:t>
      </w:r>
      <w:r>
        <w:rPr>
          <w:rFonts w:ascii="Times New Roman" w:hAnsi="Times New Roman" w:eastAsia="DFKai-SB"/>
          <w:sz w:val="28"/>
          <w:szCs w:val="36"/>
          <w:lang w:eastAsia="zh-TW"/>
        </w:rPr>
        <w:t xml:space="preserve">年 </w:t>
      </w:r>
      <w:r>
        <w:rPr>
          <w:rFonts w:eastAsia="DFKai-SB" w:ascii="Times New Roman" w:hAnsi="Times New Roman"/>
          <w:sz w:val="28"/>
          <w:szCs w:val="36"/>
          <w:lang w:eastAsia="zh-TW"/>
        </w:rPr>
        <w:t xml:space="preserve">3 </w:t>
      </w:r>
      <w:r>
        <w:rPr>
          <w:rFonts w:ascii="Times New Roman" w:hAnsi="Times New Roman" w:eastAsia="DFKai-SB"/>
          <w:sz w:val="28"/>
          <w:szCs w:val="36"/>
          <w:lang w:eastAsia="zh-TW"/>
        </w:rPr>
        <w:t>月</w:t>
      </w:r>
      <w:r>
        <w:br w:type="page"/>
      </w:r>
    </w:p>
    <w:p>
      <w:pPr>
        <w:pStyle w:val="Normal"/>
        <w:jc w:val="center"/>
        <w:rPr/>
      </w:pPr>
      <w:r>
        <w:rPr>
          <w:rFonts w:eastAsia="DFKai-SB" w:cs="Times New Roman"/>
          <w:bCs/>
          <w:sz w:val="34"/>
          <w:szCs w:val="40"/>
          <w:lang w:eastAsia="zh-TW"/>
        </w:rPr>
        <w:t>Going Deeper with Convolutional Neural Network for Stock Market Prediction</w:t>
      </w:r>
    </w:p>
    <w:p>
      <w:pPr>
        <w:pStyle w:val="Normal"/>
        <w:rPr>
          <w:rFonts w:cs="Times New Roman"/>
          <w:b/>
          <w:b/>
          <w:szCs w:val="24"/>
        </w:rPr>
      </w:pPr>
      <w:r>
        <w:rPr>
          <w:rFonts w:cs="Times New Roman"/>
          <w:b/>
          <w:szCs w:val="24"/>
        </w:rPr>
      </w:r>
    </w:p>
    <w:p>
      <w:pPr>
        <w:pStyle w:val="Normal"/>
        <w:rPr>
          <w:rFonts w:cs="Times New Roman"/>
          <w:b/>
          <w:b/>
          <w:szCs w:val="24"/>
        </w:rPr>
      </w:pPr>
      <w:r>
        <w:rPr>
          <w:rFonts w:cs="Times New Roman"/>
          <w:b/>
          <w:szCs w:val="24"/>
        </w:rPr>
      </w:r>
    </w:p>
    <w:p>
      <w:pPr>
        <w:pStyle w:val="Normal"/>
        <w:jc w:val="center"/>
        <w:rPr/>
      </w:pPr>
      <w:r>
        <w:rPr>
          <w:rFonts w:cs="Times New Roman"/>
          <w:b/>
          <w:szCs w:val="24"/>
        </w:rPr>
        <w:t xml:space="preserve">Student: </w:t>
      </w:r>
      <w:r>
        <w:rPr>
          <w:rFonts w:cs="Times New Roman"/>
          <w:b/>
          <w:szCs w:val="24"/>
        </w:rPr>
        <w:t>Rosdyana Mangir Irawan Kusuma</w:t>
      </w:r>
      <w:r>
        <w:rPr>
          <w:rFonts w:cs="Times New Roman"/>
          <w:b/>
          <w:szCs w:val="24"/>
        </w:rPr>
        <w:tab/>
        <w:tab/>
        <w:t>Advisor: Dr. Yu-Yen Ou</w:t>
      </w:r>
    </w:p>
    <w:p>
      <w:pPr>
        <w:pStyle w:val="Normal"/>
        <w:jc w:val="center"/>
        <w:rPr>
          <w:rFonts w:cs="Times New Roman"/>
          <w:szCs w:val="24"/>
        </w:rPr>
      </w:pPr>
      <w:r>
        <w:rPr>
          <w:rFonts w:cs="Times New Roman"/>
          <w:szCs w:val="24"/>
        </w:rPr>
      </w:r>
    </w:p>
    <w:p>
      <w:pPr>
        <w:pStyle w:val="Normal"/>
        <w:jc w:val="center"/>
        <w:rPr>
          <w:rFonts w:cs="Times New Roman"/>
          <w:sz w:val="28"/>
          <w:szCs w:val="28"/>
        </w:rPr>
      </w:pPr>
      <w:r>
        <w:rPr>
          <w:rFonts w:cs="Times New Roman"/>
          <w:sz w:val="28"/>
          <w:szCs w:val="28"/>
        </w:rPr>
        <w:t>Submitted to Department of Computer Science and Engineering</w:t>
      </w:r>
    </w:p>
    <w:p>
      <w:pPr>
        <w:pStyle w:val="Normal"/>
        <w:jc w:val="center"/>
        <w:rPr>
          <w:rFonts w:cs="Times New Roman"/>
          <w:sz w:val="28"/>
          <w:szCs w:val="28"/>
        </w:rPr>
      </w:pPr>
      <w:r>
        <w:rPr>
          <w:rFonts w:cs="Times New Roman"/>
          <w:sz w:val="28"/>
          <w:szCs w:val="28"/>
        </w:rPr>
        <w:t>College of Informatics</w:t>
      </w:r>
    </w:p>
    <w:p>
      <w:pPr>
        <w:pStyle w:val="Normal"/>
        <w:jc w:val="center"/>
        <w:rPr>
          <w:rFonts w:cs="Times New Roman"/>
          <w:sz w:val="28"/>
          <w:szCs w:val="28"/>
        </w:rPr>
      </w:pPr>
      <w:r>
        <w:rPr>
          <w:rFonts w:cs="Times New Roman"/>
          <w:sz w:val="28"/>
          <w:szCs w:val="28"/>
        </w:rPr>
        <w:t>Yuan Ze University</w:t>
      </w:r>
    </w:p>
    <w:p>
      <w:pPr>
        <w:pStyle w:val="Heading1"/>
        <w:spacing w:lineRule="auto" w:line="360"/>
        <w:rPr>
          <w:rFonts w:cs="Times New Roman"/>
          <w:b w:val="false"/>
          <w:b w:val="false"/>
          <w:color w:val="00000A"/>
        </w:rPr>
      </w:pPr>
      <w:bookmarkStart w:id="3" w:name="__RefHeading___Toc27314_277794404"/>
      <w:bookmarkStart w:id="4" w:name="_Toc455040176"/>
      <w:bookmarkEnd w:id="3"/>
      <w:r>
        <w:rPr>
          <w:rFonts w:cs="Times New Roman"/>
          <w:b w:val="false"/>
          <w:color w:val="00000A"/>
        </w:rPr>
        <w:t>ABSTRACT</w:t>
      </w:r>
      <w:bookmarkEnd w:id="4"/>
    </w:p>
    <w:p>
      <w:pPr>
        <w:pStyle w:val="TextBody"/>
        <w:spacing w:lineRule="auto" w:line="360"/>
        <w:ind w:firstLine="720"/>
        <w:jc w:val="both"/>
        <w:rPr>
          <w:rFonts w:ascii="Times New Roman" w:hAnsi="Times New Roman"/>
          <w:b w:val="false"/>
          <w:i w:val="false"/>
          <w:caps w:val="false"/>
          <w:smallCaps w:val="false"/>
          <w:strike w:val="false"/>
          <w:dstrike w:val="false"/>
          <w:color w:val="000000"/>
          <w:sz w:val="24"/>
          <w:u w:val="none"/>
          <w:effect w:val="none"/>
        </w:rPr>
      </w:pPr>
      <w:bookmarkStart w:id="5" w:name="docs-internal-guid-2079d5e0-b602-fbde-46"/>
      <w:bookmarkEnd w:id="5"/>
      <w:r>
        <w:rPr>
          <w:rFonts w:cs="Times New Roman"/>
          <w:b w:val="false"/>
          <w:i w:val="false"/>
          <w:caps w:val="false"/>
          <w:smallCaps w:val="false"/>
          <w:strike w:val="false"/>
          <w:dstrike w:val="false"/>
          <w:color w:val="000000"/>
          <w:sz w:val="24"/>
          <w:szCs w:val="24"/>
          <w:u w:val="none"/>
          <w:effect w:val="none"/>
          <w:lang w:eastAsia="zh-TW"/>
        </w:rPr>
        <w:t xml:space="preserve">This thesis explores predictability in the stock market using Deep Convolutional Network and candlestick charts. The outcome is to designs a decision support framework that can be used by traders to provide suggested indications of future stock price direction. Residual network method will be our main algorithm to build deeper convolutional network. From stock market historical data we converted to candlestick chart for the model analyzing the pattern. Using Taiwan stock market </w:t>
      </w:r>
      <w:r>
        <w:rPr>
          <w:rFonts w:cs="Times New Roman"/>
          <w:b w:val="false"/>
          <w:i w:val="false"/>
          <w:caps w:val="false"/>
          <w:smallCaps w:val="false"/>
          <w:strike w:val="false"/>
          <w:dstrike w:val="false"/>
          <w:color w:val="000000"/>
          <w:sz w:val="24"/>
          <w:szCs w:val="24"/>
          <w:u w:val="none"/>
          <w:effect w:val="none"/>
          <w:lang w:eastAsia="zh-TW"/>
        </w:rPr>
        <w:t>historical data</w:t>
      </w:r>
      <w:r>
        <w:rPr>
          <w:rFonts w:cs="Times New Roman"/>
          <w:b w:val="false"/>
          <w:i w:val="false"/>
          <w:caps w:val="false"/>
          <w:smallCaps w:val="false"/>
          <w:strike w:val="false"/>
          <w:dstrike w:val="false"/>
          <w:color w:val="000000"/>
          <w:sz w:val="24"/>
          <w:szCs w:val="24"/>
          <w:u w:val="none"/>
          <w:effect w:val="none"/>
          <w:lang w:eastAsia="zh-TW"/>
        </w:rPr>
        <w:t xml:space="preserve"> we can achieved xx % for 5 days sliding windows period, xx % for 10 days sliding windows period and xx % for 20 days of movements accuracy.</w:t>
      </w:r>
    </w:p>
    <w:p>
      <w:pPr>
        <w:pStyle w:val="TextBody"/>
        <w:bidi w:val="0"/>
        <w:spacing w:lineRule="auto" w:line="429" w:before="0" w:after="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This thesis also addresses problems specific to learning with stock market historical data, specifically class imbalance, and model performance due to sliding windows period days.</w:t>
      </w:r>
    </w:p>
    <w:p>
      <w:pPr>
        <w:pStyle w:val="TextBody"/>
        <w:rPr/>
      </w:pPr>
      <w:r>
        <w:rPr/>
        <w:br/>
      </w:r>
    </w:p>
    <w:p>
      <w:pPr>
        <w:pStyle w:val="NoSpacing"/>
        <w:spacing w:lineRule="auto" w:line="360"/>
        <w:jc w:val="both"/>
        <w:rPr>
          <w:rFonts w:ascii="Times New Roman" w:hAnsi="Times New Roman" w:cs="Times New Roman"/>
          <w:sz w:val="24"/>
          <w:szCs w:val="24"/>
          <w:lang w:eastAsia="zh-TW"/>
        </w:rPr>
      </w:pPr>
      <w:r>
        <w:rPr>
          <w:rFonts w:cs="Times New Roman" w:ascii="Times New Roman" w:hAnsi="Times New Roman"/>
          <w:sz w:val="24"/>
          <w:szCs w:val="24"/>
          <w:lang w:eastAsia="zh-TW"/>
        </w:rPr>
      </w:r>
    </w:p>
    <w:p>
      <w:pPr>
        <w:pStyle w:val="Normal"/>
        <w:ind w:left="1134" w:hanging="1134"/>
        <w:rPr/>
      </w:pPr>
      <w:r>
        <w:rPr>
          <w:rFonts w:cs="Times New Roman"/>
          <w:szCs w:val="24"/>
          <w:lang w:val="it-IT"/>
        </w:rPr>
        <w:t xml:space="preserve">Keywords: </w:t>
      </w:r>
      <w:r>
        <w:rPr>
          <w:rFonts w:cs="Times New Roman"/>
          <w:b w:val="false"/>
          <w:bCs w:val="false"/>
          <w:i/>
          <w:iCs/>
          <w:szCs w:val="24"/>
          <w:lang w:val="it-IT"/>
        </w:rPr>
        <w:t>S</w:t>
      </w:r>
      <w:r>
        <w:rPr>
          <w:rFonts w:cs="Times New Roman"/>
          <w:i/>
          <w:iCs/>
          <w:szCs w:val="24"/>
          <w:lang w:val="it-IT"/>
        </w:rPr>
        <w:t xml:space="preserve">tock </w:t>
      </w:r>
      <w:r>
        <w:rPr>
          <w:rFonts w:cs="Times New Roman"/>
          <w:i/>
          <w:szCs w:val="24"/>
          <w:lang w:val="it-IT"/>
        </w:rPr>
        <w:t xml:space="preserve">Market </w:t>
      </w:r>
      <w:r>
        <w:rPr>
          <w:rFonts w:cs="Times New Roman"/>
          <w:i/>
          <w:szCs w:val="24"/>
          <w:lang w:val="it-IT"/>
        </w:rPr>
        <w:t xml:space="preserve">Prediction, </w:t>
      </w:r>
      <w:r>
        <w:rPr>
          <w:rFonts w:cs="Times New Roman"/>
          <w:i/>
          <w:szCs w:val="24"/>
          <w:lang w:val="it-IT"/>
        </w:rPr>
        <w:t>Neural Network, Residual Network</w:t>
      </w:r>
    </w:p>
    <w:p>
      <w:pPr>
        <w:pStyle w:val="Normal"/>
        <w:ind w:left="1134" w:hanging="1134"/>
        <w:rPr>
          <w:rFonts w:cs="Times New Roman"/>
          <w:i/>
          <w:i/>
          <w:szCs w:val="24"/>
          <w:lang w:val="it-IT"/>
        </w:rPr>
      </w:pPr>
      <w:r>
        <w:rPr/>
      </w:r>
    </w:p>
    <w:p>
      <w:pPr>
        <w:pStyle w:val="Normal"/>
        <w:ind w:left="1134" w:hanging="1134"/>
        <w:rPr>
          <w:rFonts w:cs="Times New Roman"/>
          <w:i/>
          <w:i/>
          <w:szCs w:val="24"/>
          <w:lang w:val="it-IT"/>
        </w:rPr>
      </w:pPr>
      <w:r>
        <w:rPr/>
      </w:r>
    </w:p>
    <w:p>
      <w:pPr>
        <w:pStyle w:val="Heading1"/>
        <w:spacing w:lineRule="auto" w:line="360"/>
        <w:rPr/>
      </w:pPr>
      <w:bookmarkStart w:id="6" w:name="__RefHeading___Toc27316_277794404"/>
      <w:bookmarkStart w:id="7" w:name="_Toc455040177"/>
      <w:bookmarkEnd w:id="6"/>
      <w:r>
        <w:rPr>
          <w:rFonts w:cs="Times New Roman"/>
          <w:b w:val="false"/>
          <w:color w:val="00000A"/>
        </w:rPr>
        <w:t>Acknowledgments</w:t>
      </w:r>
      <w:bookmarkEnd w:id="7"/>
    </w:p>
    <w:p>
      <w:pPr>
        <w:pStyle w:val="Normal"/>
        <w:spacing w:lineRule="auto" w:line="360"/>
        <w:rPr>
          <w:rFonts w:cs="Times New Roman"/>
          <w:szCs w:val="24"/>
        </w:rPr>
      </w:pPr>
      <w:r>
        <w:rPr>
          <w:rFonts w:cs="Times New Roman"/>
          <w:szCs w:val="24"/>
        </w:rPr>
      </w:r>
    </w:p>
    <w:p>
      <w:pPr>
        <w:pStyle w:val="TextBody"/>
        <w:spacing w:lineRule="auto" w:line="360"/>
        <w:rPr>
          <w:rFonts w:ascii="Times New Roman" w:hAnsi="Times New Roman"/>
          <w:b w:val="false"/>
          <w:i w:val="false"/>
          <w:caps w:val="false"/>
          <w:smallCaps w:val="false"/>
          <w:strike w:val="false"/>
          <w:dstrike w:val="false"/>
          <w:color w:val="000000"/>
          <w:sz w:val="24"/>
          <w:u w:val="none"/>
          <w:effect w:val="none"/>
        </w:rPr>
      </w:pPr>
      <w:bookmarkStart w:id="8" w:name="docs-internal-guid-2079d5e0-b608-66cf-51"/>
      <w:bookmarkEnd w:id="8"/>
      <w:r>
        <w:rPr>
          <w:rFonts w:cs="Times New Roman" w:ascii="Times New Roman" w:hAnsi="Times New Roman"/>
          <w:b w:val="false"/>
          <w:i w:val="false"/>
          <w:caps w:val="false"/>
          <w:smallCaps w:val="false"/>
          <w:strike w:val="false"/>
          <w:dstrike w:val="false"/>
          <w:color w:val="000000"/>
          <w:sz w:val="24"/>
          <w:szCs w:val="24"/>
          <w:u w:val="none"/>
          <w:effect w:val="none"/>
        </w:rPr>
        <w:t xml:space="preserve">I would like to dedicate this thesis to Allah Subhanahu wa ta’ala, for your help through all the difficulties. And a special thanks to my family, my bunny, my </w:t>
      </w:r>
      <w:r>
        <w:rPr>
          <w:rFonts w:cs="Times New Roman" w:ascii="Times New Roman" w:hAnsi="Times New Roman"/>
          <w:b w:val="false"/>
          <w:i w:val="false"/>
          <w:caps w:val="false"/>
          <w:smallCaps w:val="false"/>
          <w:strike w:val="false"/>
          <w:dstrike w:val="false"/>
          <w:color w:val="000000"/>
          <w:sz w:val="24"/>
          <w:szCs w:val="24"/>
          <w:u w:val="none"/>
          <w:effect w:val="none"/>
        </w:rPr>
        <w:t>lab mates</w:t>
      </w:r>
      <w:r>
        <w:rPr>
          <w:rFonts w:cs="Times New Roman" w:ascii="Times New Roman" w:hAnsi="Times New Roman"/>
          <w:b w:val="false"/>
          <w:i w:val="false"/>
          <w:caps w:val="false"/>
          <w:smallCaps w:val="false"/>
          <w:strike w:val="false"/>
          <w:dstrike w:val="false"/>
          <w:color w:val="000000"/>
          <w:sz w:val="24"/>
          <w:szCs w:val="24"/>
          <w:u w:val="none"/>
          <w:effect w:val="none"/>
        </w:rPr>
        <w:t xml:space="preserve">, all the </w:t>
      </w:r>
      <w:r>
        <w:rPr>
          <w:rFonts w:cs="Times New Roman" w:ascii="Times New Roman" w:hAnsi="Times New Roman"/>
          <w:b w:val="false"/>
          <w:i w:val="false"/>
          <w:caps w:val="false"/>
          <w:smallCaps w:val="false"/>
          <w:strike w:val="false"/>
          <w:dstrike w:val="false"/>
          <w:color w:val="000000"/>
          <w:sz w:val="24"/>
          <w:szCs w:val="24"/>
          <w:u w:val="none"/>
          <w:effect w:val="none"/>
        </w:rPr>
        <w:t>Yuan Ze University</w:t>
      </w:r>
      <w:r>
        <w:rPr>
          <w:rFonts w:cs="Times New Roman" w:ascii="Times New Roman" w:hAnsi="Times New Roman"/>
          <w:b w:val="false"/>
          <w:i w:val="false"/>
          <w:caps w:val="false"/>
          <w:smallCaps w:val="false"/>
          <w:strike w:val="false"/>
          <w:dstrike w:val="false"/>
          <w:color w:val="000000"/>
          <w:sz w:val="24"/>
          <w:szCs w:val="24"/>
          <w:u w:val="none"/>
          <w:effect w:val="none"/>
        </w:rPr>
        <w:t xml:space="preserve"> teachers and friends that I have ever met during my study in Taiwan.</w:t>
      </w:r>
    </w:p>
    <w:p>
      <w:pPr>
        <w:pStyle w:val="TextBody"/>
        <w:bidi w:val="0"/>
        <w:spacing w:lineRule="auto" w:line="429" w:before="0" w:after="0"/>
        <w:ind w:left="0" w:right="0" w:firstLine="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 would like to express my gratitude for the supervision of my advisor, Dr. Yu-Yen Ou who suggested an interesting research topic to me. And gave me clear direction to made this paper possible. You have been a tremendous teacher for me during my study especially for your support, guidance, corrections, encouragement and advices. I would also like to thank my thesis committee, Dr xx, for the insightful comments and advice.</w:t>
      </w:r>
    </w:p>
    <w:p>
      <w:pPr>
        <w:pStyle w:val="TextBody"/>
        <w:bidi w:val="0"/>
        <w:spacing w:lineRule="auto" w:line="429" w:before="0" w:after="0"/>
        <w:ind w:left="0" w:right="0" w:firstLine="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Finally, I would like to acknowledge the generous financial support of Yuan Ze University’s Department of Computer Science and Engineering. Which has illuminated my long-lasting dream of obtaining a Master Degree in Computer Science and Engineering.</w:t>
      </w:r>
    </w:p>
    <w:p>
      <w:pPr>
        <w:pStyle w:val="TextBody"/>
        <w:rPr/>
      </w:pPr>
      <w:r>
        <w:rPr/>
        <w:b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sdt>
      <w:sdtPr>
        <w:docPartObj>
          <w:docPartGallery w:val="Table of Contents"/>
          <w:docPartUnique w:val="true"/>
        </w:docPartObj>
        <w:id w:val="665303877"/>
      </w:sdtPr>
      <w:sdtContent>
        <w:p>
          <w:pPr>
            <w:pStyle w:val="Heading1"/>
            <w:spacing w:lineRule="auto" w:line="360" w:before="0" w:after="0"/>
            <w:rPr/>
          </w:pPr>
          <w:bookmarkStart w:id="9" w:name="__RefHeading___Toc27318_277794404"/>
          <w:bookmarkStart w:id="10" w:name="_Toc455040178"/>
          <w:bookmarkEnd w:id="9"/>
          <w:r>
            <w:rPr>
              <w:rFonts w:cs="Times New Roman"/>
              <w:b w:val="false"/>
              <w:color w:val="00000A"/>
            </w:rPr>
            <w:t>Table of Contents</w:t>
          </w:r>
          <w:bookmarkEnd w:id="10"/>
        </w:p>
        <w:p>
          <w:pPr>
            <w:pStyle w:val="Contents1"/>
            <w:tabs>
              <w:tab w:val="right" w:pos="8504" w:leader="dot"/>
            </w:tabs>
            <w:rPr/>
          </w:pPr>
          <w:r>
            <w:fldChar w:fldCharType="begin"/>
          </w:r>
          <w:r>
            <w:rPr>
              <w:webHidden/>
              <w:rStyle w:val="IndexLink"/>
            </w:rPr>
            <w:instrText> TOC \z \o "1-4" \u \h</w:instrText>
          </w:r>
          <w:r>
            <w:rPr>
              <w:webHidden/>
              <w:rStyle w:val="IndexLink"/>
            </w:rPr>
            <w:fldChar w:fldCharType="separate"/>
          </w:r>
          <w:hyperlink w:anchor="__RefHeading___Toc27314_277794404">
            <w:r>
              <w:rPr>
                <w:webHidden/>
                <w:rStyle w:val="IndexLink"/>
              </w:rPr>
              <w:t>ABSTRACT</w:t>
              <w:tab/>
              <w:t>iii</w:t>
            </w:r>
          </w:hyperlink>
        </w:p>
        <w:p>
          <w:pPr>
            <w:pStyle w:val="Contents1"/>
            <w:tabs>
              <w:tab w:val="right" w:pos="8504" w:leader="dot"/>
            </w:tabs>
            <w:rPr/>
          </w:pPr>
          <w:hyperlink w:anchor="__RefHeading___Toc27316_277794404">
            <w:r>
              <w:rPr>
                <w:webHidden/>
                <w:rStyle w:val="IndexLink"/>
              </w:rPr>
              <w:t>Acknowledgments</w:t>
              <w:tab/>
              <w:t>iv</w:t>
            </w:r>
          </w:hyperlink>
        </w:p>
        <w:p>
          <w:pPr>
            <w:pStyle w:val="Contents1"/>
            <w:tabs>
              <w:tab w:val="right" w:pos="8504" w:leader="dot"/>
            </w:tabs>
            <w:rPr/>
          </w:pPr>
          <w:hyperlink w:anchor="__RefHeading___Toc27318_277794404">
            <w:r>
              <w:rPr>
                <w:webHidden/>
                <w:rStyle w:val="IndexLink"/>
              </w:rPr>
              <w:t>Table of Contents</w:t>
              <w:tab/>
              <w:t>v</w:t>
            </w:r>
          </w:hyperlink>
        </w:p>
        <w:p>
          <w:pPr>
            <w:pStyle w:val="Contents1"/>
            <w:tabs>
              <w:tab w:val="right" w:pos="8504" w:leader="dot"/>
            </w:tabs>
            <w:rPr/>
          </w:pPr>
          <w:hyperlink w:anchor="__RefHeading___Toc27320_277794404">
            <w:r>
              <w:rPr>
                <w:webHidden/>
                <w:rStyle w:val="IndexLink"/>
              </w:rPr>
              <w:t>Table of Figures</w:t>
              <w:tab/>
              <w:t>vii</w:t>
            </w:r>
          </w:hyperlink>
        </w:p>
        <w:p>
          <w:pPr>
            <w:pStyle w:val="Contents1"/>
            <w:tabs>
              <w:tab w:val="right" w:pos="8504" w:leader="dot"/>
            </w:tabs>
            <w:rPr/>
          </w:pPr>
          <w:hyperlink w:anchor="__RefHeading___Toc27322_277794404">
            <w:r>
              <w:rPr>
                <w:webHidden/>
                <w:rStyle w:val="IndexLink"/>
              </w:rPr>
              <w:t>Table of Tables</w:t>
              <w:tab/>
              <w:t>ix</w:t>
            </w:r>
          </w:hyperlink>
        </w:p>
        <w:p>
          <w:pPr>
            <w:pStyle w:val="Contents1"/>
            <w:tabs>
              <w:tab w:val="right" w:pos="8504" w:leader="dot"/>
            </w:tabs>
            <w:rPr/>
          </w:pPr>
          <w:hyperlink w:anchor="__RefHeading___Toc27324_277794404">
            <w:r>
              <w:rPr>
                <w:webHidden/>
                <w:rStyle w:val="IndexLink"/>
              </w:rPr>
              <w:t>Chapter 1 Introduction</w:t>
              <w:tab/>
              <w:t>1</w:t>
            </w:r>
          </w:hyperlink>
        </w:p>
        <w:p>
          <w:pPr>
            <w:pStyle w:val="Contents2"/>
            <w:tabs>
              <w:tab w:val="right" w:pos="8504" w:leader="dot"/>
            </w:tabs>
            <w:rPr/>
          </w:pPr>
          <w:hyperlink w:anchor="__RefHeading___Toc27326_277794404">
            <w:r>
              <w:rPr>
                <w:webHidden/>
                <w:rStyle w:val="IndexLink"/>
              </w:rPr>
              <w:t>1.1. Cell Membrane</w:t>
              <w:tab/>
              <w:t>1</w:t>
            </w:r>
          </w:hyperlink>
        </w:p>
        <w:p>
          <w:pPr>
            <w:pStyle w:val="Contents2"/>
            <w:tabs>
              <w:tab w:val="right" w:pos="8504" w:leader="dot"/>
            </w:tabs>
            <w:rPr/>
          </w:pPr>
          <w:hyperlink w:anchor="__RefHeading___Toc27328_277794404">
            <w:r>
              <w:rPr>
                <w:webHidden/>
                <w:rStyle w:val="IndexLink"/>
              </w:rPr>
              <w:t>1.2. Transport protein</w:t>
              <w:tab/>
              <w:t>4</w:t>
            </w:r>
          </w:hyperlink>
        </w:p>
        <w:p>
          <w:pPr>
            <w:pStyle w:val="Contents2"/>
            <w:tabs>
              <w:tab w:val="right" w:pos="8504" w:leader="dot"/>
            </w:tabs>
            <w:rPr/>
          </w:pPr>
          <w:hyperlink w:anchor="__RefHeading___Toc27330_277794404">
            <w:r>
              <w:rPr>
                <w:webHidden/>
                <w:rStyle w:val="IndexLink"/>
              </w:rPr>
              <w:t>1.3. Efflux Protein</w:t>
              <w:tab/>
              <w:t>5</w:t>
            </w:r>
          </w:hyperlink>
        </w:p>
        <w:p>
          <w:pPr>
            <w:pStyle w:val="Contents2"/>
            <w:tabs>
              <w:tab w:val="right" w:pos="8504" w:leader="dot"/>
            </w:tabs>
            <w:rPr/>
          </w:pPr>
          <w:hyperlink w:anchor="__RefHeading___Toc27332_277794404">
            <w:r>
              <w:rPr>
                <w:webHidden/>
                <w:rStyle w:val="IndexLink"/>
              </w:rPr>
              <w:t>1.4. Families of Efflux Proteins</w:t>
              <w:tab/>
              <w:t>9</w:t>
            </w:r>
          </w:hyperlink>
        </w:p>
        <w:p>
          <w:pPr>
            <w:pStyle w:val="Contents3"/>
            <w:tabs>
              <w:tab w:val="right" w:pos="8504" w:leader="dot"/>
            </w:tabs>
            <w:rPr/>
          </w:pPr>
          <w:hyperlink w:anchor="__RefHeading___Toc27334_277794404">
            <w:r>
              <w:rPr>
                <w:webHidden/>
                <w:rStyle w:val="IndexLink"/>
              </w:rPr>
              <w:t>1.4.1. The Major Facilitator Superfamily</w:t>
              <w:tab/>
              <w:t>9</w:t>
            </w:r>
          </w:hyperlink>
        </w:p>
        <w:p>
          <w:pPr>
            <w:pStyle w:val="Contents3"/>
            <w:tabs>
              <w:tab w:val="right" w:pos="8504" w:leader="dot"/>
            </w:tabs>
            <w:rPr/>
          </w:pPr>
          <w:hyperlink w:anchor="__RefHeading___Toc27336_277794404">
            <w:r>
              <w:rPr>
                <w:webHidden/>
                <w:rStyle w:val="IndexLink"/>
              </w:rPr>
              <w:t>1.4.2. Small multidrug resistance protein family</w:t>
              <w:tab/>
              <w:t>12</w:t>
            </w:r>
          </w:hyperlink>
        </w:p>
        <w:p>
          <w:pPr>
            <w:pStyle w:val="Contents3"/>
            <w:tabs>
              <w:tab w:val="right" w:pos="8504" w:leader="dot"/>
            </w:tabs>
            <w:rPr/>
          </w:pPr>
          <w:hyperlink w:anchor="__RefHeading___Toc27338_277794404">
            <w:r>
              <w:rPr>
                <w:webHidden/>
                <w:rStyle w:val="IndexLink"/>
              </w:rPr>
              <w:t>1.4.3. The Multi Antimicrobial Extrusion Family</w:t>
              <w:tab/>
              <w:t>13</w:t>
            </w:r>
          </w:hyperlink>
        </w:p>
        <w:p>
          <w:pPr>
            <w:pStyle w:val="Contents3"/>
            <w:tabs>
              <w:tab w:val="right" w:pos="8504" w:leader="dot"/>
            </w:tabs>
            <w:rPr/>
          </w:pPr>
          <w:hyperlink w:anchor="__RefHeading___Toc27340_277794404">
            <w:r>
              <w:rPr>
                <w:webHidden/>
                <w:rStyle w:val="IndexLink"/>
              </w:rPr>
              <w:t>1.4.4. The Resistance-Nodulation-Cell Division Superfamily</w:t>
              <w:tab/>
              <w:t>13</w:t>
            </w:r>
          </w:hyperlink>
        </w:p>
        <w:p>
          <w:pPr>
            <w:pStyle w:val="Contents3"/>
            <w:tabs>
              <w:tab w:val="right" w:pos="8504" w:leader="dot"/>
            </w:tabs>
            <w:rPr/>
          </w:pPr>
          <w:hyperlink w:anchor="__RefHeading___Toc27342_277794404">
            <w:r>
              <w:rPr>
                <w:webHidden/>
                <w:rStyle w:val="IndexLink"/>
              </w:rPr>
              <w:t>1.4.5. The ATP-binding Cassette Superfamily</w:t>
              <w:tab/>
              <w:t>14</w:t>
            </w:r>
          </w:hyperlink>
        </w:p>
        <w:p>
          <w:pPr>
            <w:pStyle w:val="Contents2"/>
            <w:tabs>
              <w:tab w:val="right" w:pos="8504" w:leader="dot"/>
            </w:tabs>
            <w:rPr/>
          </w:pPr>
          <w:hyperlink w:anchor="__RefHeading___Toc27344_277794404">
            <w:r>
              <w:rPr>
                <w:webHidden/>
                <w:rStyle w:val="IndexLink"/>
              </w:rPr>
              <w:t>1.5. Objective</w:t>
              <w:tab/>
              <w:t>17</w:t>
            </w:r>
          </w:hyperlink>
        </w:p>
        <w:p>
          <w:pPr>
            <w:pStyle w:val="Contents1"/>
            <w:tabs>
              <w:tab w:val="right" w:pos="8504" w:leader="dot"/>
            </w:tabs>
            <w:rPr/>
          </w:pPr>
          <w:hyperlink w:anchor="__RefHeading___Toc27346_277794404">
            <w:r>
              <w:rPr>
                <w:webHidden/>
                <w:rStyle w:val="IndexLink"/>
              </w:rPr>
              <w:t>Chapter 2 Data Collection</w:t>
              <w:tab/>
              <w:t>18</w:t>
            </w:r>
          </w:hyperlink>
        </w:p>
        <w:p>
          <w:pPr>
            <w:pStyle w:val="Contents2"/>
            <w:tabs>
              <w:tab w:val="right" w:pos="8504" w:leader="dot"/>
            </w:tabs>
            <w:rPr/>
          </w:pPr>
          <w:hyperlink w:anchor="__RefHeading___Toc27348_277794404">
            <w:r>
              <w:rPr>
                <w:webHidden/>
                <w:rStyle w:val="IndexLink"/>
              </w:rPr>
              <w:t>2.1. Transporter Classification Database</w:t>
              <w:tab/>
              <w:t>18</w:t>
            </w:r>
          </w:hyperlink>
        </w:p>
        <w:p>
          <w:pPr>
            <w:pStyle w:val="Contents2"/>
            <w:tabs>
              <w:tab w:val="right" w:pos="8504" w:leader="dot"/>
            </w:tabs>
            <w:rPr/>
          </w:pPr>
          <w:hyperlink w:anchor="__RefHeading___Toc27350_277794404">
            <w:r>
              <w:rPr>
                <w:webHidden/>
                <w:rStyle w:val="IndexLink"/>
              </w:rPr>
              <w:t>2.2. Data Collection</w:t>
              <w:tab/>
              <w:t>20</w:t>
            </w:r>
          </w:hyperlink>
        </w:p>
        <w:p>
          <w:pPr>
            <w:pStyle w:val="Contents2"/>
            <w:tabs>
              <w:tab w:val="right" w:pos="8504" w:leader="dot"/>
            </w:tabs>
            <w:rPr/>
          </w:pPr>
          <w:hyperlink w:anchor="__RefHeading___Toc27352_277794404">
            <w:r>
              <w:rPr>
                <w:webHidden/>
                <w:rStyle w:val="IndexLink"/>
              </w:rPr>
              <w:t>2.3. Discrimination Process</w:t>
              <w:tab/>
              <w:t>20</w:t>
            </w:r>
          </w:hyperlink>
        </w:p>
        <w:p>
          <w:pPr>
            <w:pStyle w:val="Contents1"/>
            <w:tabs>
              <w:tab w:val="right" w:pos="8504" w:leader="dot"/>
            </w:tabs>
            <w:rPr/>
          </w:pPr>
          <w:hyperlink w:anchor="__RefHeading___Toc27354_277794404">
            <w:r>
              <w:rPr>
                <w:webHidden/>
                <w:rStyle w:val="IndexLink"/>
              </w:rPr>
              <w:t>Chapter 3 Methodology</w:t>
              <w:tab/>
              <w:t>23</w:t>
            </w:r>
          </w:hyperlink>
        </w:p>
        <w:p>
          <w:pPr>
            <w:pStyle w:val="Contents2"/>
            <w:tabs>
              <w:tab w:val="right" w:pos="8504" w:leader="dot"/>
            </w:tabs>
            <w:rPr/>
          </w:pPr>
          <w:hyperlink w:anchor="__RefHeading___Toc27356_277794404">
            <w:r>
              <w:rPr>
                <w:webHidden/>
                <w:rStyle w:val="IndexLink"/>
              </w:rPr>
              <w:t>3.1. Amino Acid Index (AAindex)</w:t>
              <w:tab/>
              <w:t>24</w:t>
            </w:r>
          </w:hyperlink>
        </w:p>
        <w:p>
          <w:pPr>
            <w:pStyle w:val="Contents2"/>
            <w:tabs>
              <w:tab w:val="right" w:pos="8504" w:leader="dot"/>
            </w:tabs>
            <w:rPr/>
          </w:pPr>
          <w:hyperlink w:anchor="__RefHeading___Toc27358_277794404">
            <w:r>
              <w:rPr>
                <w:webHidden/>
                <w:rStyle w:val="IndexLink"/>
              </w:rPr>
              <w:t>3.2. Feature Selection</w:t>
              <w:tab/>
              <w:t>25</w:t>
            </w:r>
          </w:hyperlink>
        </w:p>
        <w:p>
          <w:pPr>
            <w:pStyle w:val="Contents3"/>
            <w:tabs>
              <w:tab w:val="right" w:pos="8504" w:leader="dot"/>
            </w:tabs>
            <w:rPr/>
          </w:pPr>
          <w:hyperlink w:anchor="__RefHeading___Toc27360_277794404">
            <w:r>
              <w:rPr>
                <w:webHidden/>
                <w:rStyle w:val="IndexLink"/>
              </w:rPr>
              <w:t>3.2.1. Fisher Score Algorithm</w:t>
              <w:tab/>
              <w:t>25</w:t>
            </w:r>
          </w:hyperlink>
        </w:p>
        <w:p>
          <w:pPr>
            <w:pStyle w:val="Contents3"/>
            <w:tabs>
              <w:tab w:val="right" w:pos="8504" w:leader="dot"/>
            </w:tabs>
            <w:rPr/>
          </w:pPr>
          <w:hyperlink w:anchor="__RefHeading___Toc27362_277794404">
            <w:r>
              <w:rPr>
                <w:webHidden/>
                <w:rStyle w:val="IndexLink"/>
              </w:rPr>
              <w:t>3.2.2. Relief Algorithm</w:t>
              <w:tab/>
              <w:t>27</w:t>
            </w:r>
          </w:hyperlink>
        </w:p>
        <w:p>
          <w:pPr>
            <w:pStyle w:val="Contents2"/>
            <w:tabs>
              <w:tab w:val="right" w:pos="8504" w:leader="dot"/>
            </w:tabs>
            <w:rPr/>
          </w:pPr>
          <w:hyperlink w:anchor="__RefHeading___Toc27364_277794404">
            <w:r>
              <w:rPr>
                <w:webHidden/>
                <w:rStyle w:val="IndexLink"/>
              </w:rPr>
              <w:t>3.3. Machine Learning</w:t>
              <w:tab/>
              <w:t>27</w:t>
            </w:r>
          </w:hyperlink>
        </w:p>
        <w:p>
          <w:pPr>
            <w:pStyle w:val="Contents3"/>
            <w:tabs>
              <w:tab w:val="right" w:pos="8504" w:leader="dot"/>
            </w:tabs>
            <w:rPr/>
          </w:pPr>
          <w:hyperlink w:anchor="__RefHeading___Toc27366_277794404">
            <w:r>
              <w:rPr>
                <w:webHidden/>
                <w:rStyle w:val="IndexLink"/>
              </w:rPr>
              <w:t>3.3.1. Radial Basis Function Networks</w:t>
              <w:tab/>
              <w:t>27</w:t>
            </w:r>
          </w:hyperlink>
        </w:p>
        <w:p>
          <w:pPr>
            <w:pStyle w:val="Contents3"/>
            <w:tabs>
              <w:tab w:val="right" w:pos="8504" w:leader="dot"/>
            </w:tabs>
            <w:rPr/>
          </w:pPr>
          <w:hyperlink w:anchor="__RefHeading___Toc27368_277794404">
            <w:r>
              <w:rPr>
                <w:webHidden/>
                <w:rStyle w:val="IndexLink"/>
              </w:rPr>
              <w:t>3.3.2. Support Vector Machine (SVM)</w:t>
              <w:tab/>
              <w:t>29</w:t>
            </w:r>
          </w:hyperlink>
        </w:p>
        <w:p>
          <w:pPr>
            <w:pStyle w:val="Contents3"/>
            <w:tabs>
              <w:tab w:val="right" w:pos="8504" w:leader="dot"/>
            </w:tabs>
            <w:rPr/>
          </w:pPr>
          <w:hyperlink w:anchor="__RefHeading___Toc27370_277794404">
            <w:r>
              <w:rPr>
                <w:webHidden/>
                <w:rStyle w:val="IndexLink"/>
              </w:rPr>
              <w:t>3.3.3. WEKA Tools</w:t>
              <w:tab/>
              <w:t>30</w:t>
            </w:r>
          </w:hyperlink>
        </w:p>
        <w:p>
          <w:pPr>
            <w:pStyle w:val="Contents4"/>
            <w:tabs>
              <w:tab w:val="right" w:pos="8504" w:leader="dot"/>
            </w:tabs>
            <w:rPr/>
          </w:pPr>
          <w:hyperlink w:anchor="__RefHeading___Toc27372_277794404">
            <w:r>
              <w:rPr>
                <w:webHidden/>
                <w:rStyle w:val="IndexLink"/>
              </w:rPr>
              <w:t>3.3.3.1. Random Forest Classifiers</w:t>
              <w:tab/>
              <w:t>30</w:t>
            </w:r>
          </w:hyperlink>
        </w:p>
        <w:p>
          <w:pPr>
            <w:pStyle w:val="Contents4"/>
            <w:tabs>
              <w:tab w:val="right" w:pos="8504" w:leader="dot"/>
            </w:tabs>
            <w:rPr/>
          </w:pPr>
          <w:hyperlink w:anchor="__RefHeading___Toc27374_277794404">
            <w:r>
              <w:rPr>
                <w:webHidden/>
                <w:rStyle w:val="IndexLink"/>
              </w:rPr>
              <w:t>3.3.3.2. Naïve Bayes Classifiers</w:t>
              <w:tab/>
              <w:t>31</w:t>
            </w:r>
          </w:hyperlink>
        </w:p>
        <w:p>
          <w:pPr>
            <w:pStyle w:val="Contents4"/>
            <w:tabs>
              <w:tab w:val="right" w:pos="8504" w:leader="dot"/>
            </w:tabs>
            <w:rPr/>
          </w:pPr>
          <w:hyperlink w:anchor="__RefHeading___Toc27376_277794404">
            <w:r>
              <w:rPr>
                <w:webHidden/>
                <w:rStyle w:val="IndexLink"/>
              </w:rPr>
              <w:t>3.3.3.3. K-Nearest Neighbors (KNN)</w:t>
              <w:tab/>
              <w:t>32</w:t>
            </w:r>
          </w:hyperlink>
        </w:p>
        <w:p>
          <w:pPr>
            <w:pStyle w:val="Contents2"/>
            <w:tabs>
              <w:tab w:val="right" w:pos="8504" w:leader="dot"/>
            </w:tabs>
            <w:rPr/>
          </w:pPr>
          <w:hyperlink w:anchor="__RefHeading___Toc27378_277794404">
            <w:r>
              <w:rPr>
                <w:webHidden/>
                <w:rStyle w:val="IndexLink"/>
              </w:rPr>
              <w:t>3.4. Position Specific Scoring Matrix (PSSM)</w:t>
              <w:tab/>
              <w:t>33</w:t>
            </w:r>
          </w:hyperlink>
        </w:p>
        <w:p>
          <w:pPr>
            <w:pStyle w:val="Contents2"/>
            <w:tabs>
              <w:tab w:val="right" w:pos="8504" w:leader="dot"/>
            </w:tabs>
            <w:rPr/>
          </w:pPr>
          <w:hyperlink w:anchor="__RefHeading___Toc27380_277794404">
            <w:r>
              <w:rPr>
                <w:webHidden/>
                <w:rStyle w:val="IndexLink"/>
              </w:rPr>
              <w:t>3.5. Amino Acid Composition (AAC)</w:t>
              <w:tab/>
              <w:t>34</w:t>
            </w:r>
          </w:hyperlink>
        </w:p>
        <w:p>
          <w:pPr>
            <w:pStyle w:val="Contents2"/>
            <w:tabs>
              <w:tab w:val="right" w:pos="8504" w:leader="dot"/>
            </w:tabs>
            <w:rPr/>
          </w:pPr>
          <w:hyperlink w:anchor="__RefHeading___Toc27382_277794404">
            <w:r>
              <w:rPr>
                <w:webHidden/>
                <w:rStyle w:val="IndexLink"/>
              </w:rPr>
              <w:t>3.6. Dipeptide Pair Composition (DPC)</w:t>
              <w:tab/>
              <w:t>35</w:t>
            </w:r>
          </w:hyperlink>
        </w:p>
        <w:p>
          <w:pPr>
            <w:pStyle w:val="Contents2"/>
            <w:tabs>
              <w:tab w:val="right" w:pos="8504" w:leader="dot"/>
            </w:tabs>
            <w:rPr/>
          </w:pPr>
          <w:hyperlink w:anchor="__RefHeading___Toc27384_277794404">
            <w:r>
              <w:rPr>
                <w:webHidden/>
                <w:rStyle w:val="IndexLink"/>
              </w:rPr>
              <w:t>3.7. Performance Evaluation</w:t>
              <w:tab/>
              <w:t>36</w:t>
            </w:r>
          </w:hyperlink>
        </w:p>
        <w:p>
          <w:pPr>
            <w:pStyle w:val="Contents1"/>
            <w:tabs>
              <w:tab w:val="right" w:pos="8504" w:leader="dot"/>
            </w:tabs>
            <w:rPr/>
          </w:pPr>
          <w:hyperlink w:anchor="__RefHeading___Toc27386_277794404">
            <w:r>
              <w:rPr>
                <w:webHidden/>
                <w:rStyle w:val="IndexLink"/>
              </w:rPr>
              <w:t>Chapter 4 Experimental Results</w:t>
              <w:tab/>
              <w:t>38</w:t>
            </w:r>
          </w:hyperlink>
        </w:p>
        <w:p>
          <w:pPr>
            <w:pStyle w:val="Contents2"/>
            <w:tabs>
              <w:tab w:val="right" w:pos="8504" w:leader="dot"/>
            </w:tabs>
            <w:rPr/>
          </w:pPr>
          <w:hyperlink w:anchor="__RefHeading___Toc27388_277794404">
            <w:r>
              <w:rPr>
                <w:webHidden/>
                <w:rStyle w:val="IndexLink"/>
              </w:rPr>
              <w:t>4.1. Analysis Data</w:t>
              <w:tab/>
              <w:t>38</w:t>
            </w:r>
          </w:hyperlink>
        </w:p>
        <w:p>
          <w:pPr>
            <w:pStyle w:val="Contents3"/>
            <w:tabs>
              <w:tab w:val="right" w:pos="8504" w:leader="dot"/>
            </w:tabs>
            <w:rPr/>
          </w:pPr>
          <w:hyperlink w:anchor="__RefHeading___Toc27390_277794404">
            <w:r>
              <w:rPr>
                <w:webHidden/>
                <w:rStyle w:val="IndexLink"/>
              </w:rPr>
              <w:t>4.1.1. Comparison of Amino Acid Composition and F-score</w:t>
              <w:tab/>
              <w:t>38</w:t>
            </w:r>
          </w:hyperlink>
        </w:p>
        <w:p>
          <w:pPr>
            <w:pStyle w:val="Contents3"/>
            <w:tabs>
              <w:tab w:val="right" w:pos="8504" w:leader="dot"/>
            </w:tabs>
            <w:rPr/>
          </w:pPr>
          <w:hyperlink w:anchor="__RefHeading___Toc27392_277794404">
            <w:r>
              <w:rPr>
                <w:webHidden/>
                <w:rStyle w:val="IndexLink"/>
              </w:rPr>
              <w:t>4.1.2. Discrimination Class of Efflux Protein Families</w:t>
              <w:tab/>
              <w:t>40</w:t>
            </w:r>
          </w:hyperlink>
        </w:p>
        <w:p>
          <w:pPr>
            <w:pStyle w:val="Contents2"/>
            <w:tabs>
              <w:tab w:val="right" w:pos="8504" w:leader="dot"/>
            </w:tabs>
            <w:rPr/>
          </w:pPr>
          <w:hyperlink w:anchor="__RefHeading___Toc27394_277794404">
            <w:r>
              <w:rPr>
                <w:webHidden/>
                <w:rStyle w:val="IndexLink"/>
              </w:rPr>
              <w:t>4.2. Evaluation Measures of Feature sets and Classifiers Performance</w:t>
              <w:tab/>
              <w:t>43</w:t>
            </w:r>
          </w:hyperlink>
        </w:p>
        <w:p>
          <w:pPr>
            <w:pStyle w:val="Contents2"/>
            <w:tabs>
              <w:tab w:val="right" w:pos="8504" w:leader="dot"/>
            </w:tabs>
            <w:rPr/>
          </w:pPr>
          <w:hyperlink w:anchor="__RefHeading___Toc27396_277794404">
            <w:r>
              <w:rPr>
                <w:webHidden/>
                <w:rStyle w:val="IndexLink"/>
              </w:rPr>
              <w:t>4.3. Four Parts of Selected 100 Amino Acid Sequences</w:t>
              <w:tab/>
              <w:t>46</w:t>
            </w:r>
          </w:hyperlink>
        </w:p>
        <w:p>
          <w:pPr>
            <w:pStyle w:val="Contents2"/>
            <w:tabs>
              <w:tab w:val="right" w:pos="8504" w:leader="dot"/>
            </w:tabs>
            <w:rPr/>
          </w:pPr>
          <w:hyperlink w:anchor="__RefHeading___Toc27398_277794404">
            <w:r>
              <w:rPr>
                <w:webHidden/>
                <w:rStyle w:val="IndexLink"/>
              </w:rPr>
              <w:t>4.4. Topmost F-scores of selected 10-250 amino acid Sequences</w:t>
              <w:tab/>
              <w:t>49</w:t>
            </w:r>
          </w:hyperlink>
        </w:p>
        <w:p>
          <w:pPr>
            <w:pStyle w:val="Contents2"/>
            <w:tabs>
              <w:tab w:val="right" w:pos="8504" w:leader="dot"/>
            </w:tabs>
            <w:rPr/>
          </w:pPr>
          <w:hyperlink w:anchor="__RefHeading___Toc27400_277794404">
            <w:r>
              <w:rPr>
                <w:webHidden/>
                <w:rStyle w:val="IndexLink"/>
              </w:rPr>
              <w:t>4.5. Identify Class of Efflux Protein Families in Genomic Sequences</w:t>
              <w:tab/>
              <w:t>51</w:t>
            </w:r>
          </w:hyperlink>
        </w:p>
        <w:p>
          <w:pPr>
            <w:pStyle w:val="Contents1"/>
            <w:tabs>
              <w:tab w:val="right" w:pos="8504" w:leader="dot"/>
            </w:tabs>
            <w:rPr/>
          </w:pPr>
          <w:hyperlink w:anchor="__RefHeading___Toc27402_277794404">
            <w:r>
              <w:rPr>
                <w:webHidden/>
                <w:rStyle w:val="IndexLink"/>
              </w:rPr>
              <w:t>Chapter 5 Conclusion and Future Works</w:t>
              <w:tab/>
              <w:t>53</w:t>
            </w:r>
          </w:hyperlink>
        </w:p>
        <w:p>
          <w:pPr>
            <w:pStyle w:val="Contents1"/>
            <w:tabs>
              <w:tab w:val="right" w:pos="8504" w:leader="dot"/>
            </w:tabs>
            <w:rPr/>
          </w:pPr>
          <w:hyperlink w:anchor="__RefHeading___Toc27404_277794404">
            <w:r>
              <w:rPr>
                <w:webHidden/>
                <w:rStyle w:val="IndexLink"/>
              </w:rPr>
              <w:t>References</w:t>
              <w:tab/>
              <w:t>55</w:t>
            </w:r>
          </w:hyperlink>
        </w:p>
      </w:sdtContent>
    </w:sdt>
    <w:p>
      <w:pPr>
        <w:pStyle w:val="Normal"/>
        <w:rPr>
          <w:rFonts w:cs="Times New Roman"/>
        </w:rPr>
      </w:pPr>
      <w:r>
        <w:rPr>
          <w:rFonts w:cs="Times New Roman"/>
        </w:rPr>
      </w:r>
      <w:r>
        <w:rPr>
          <w:rFonts w:cs="Times New Roman"/>
        </w:rPr>
        <w:fldChar w:fldCharType="end"/>
      </w:r>
      <w:r>
        <w:br w:type="page"/>
      </w:r>
    </w:p>
    <w:p>
      <w:pPr>
        <w:pStyle w:val="Heading1"/>
        <w:rPr/>
      </w:pPr>
      <w:bookmarkStart w:id="11" w:name="__RefHeading___Toc27320_277794404"/>
      <w:bookmarkStart w:id="12" w:name="_Toc455040179"/>
      <w:bookmarkEnd w:id="11"/>
      <w:r>
        <w:rPr>
          <w:rFonts w:cs="Times New Roman"/>
        </w:rPr>
        <w:t>Table</w:t>
      </w:r>
      <w:r>
        <w:rPr>
          <w:rFonts w:cs="Times New Roman"/>
          <w:lang w:eastAsia="zh-TW"/>
        </w:rPr>
        <w:t xml:space="preserve"> of Figures</w:t>
      </w:r>
      <w:bookmarkEnd w:id="12"/>
    </w:p>
    <w:p>
      <w:pPr>
        <w:pStyle w:val="IllustrationIndex1"/>
        <w:tabs>
          <w:tab w:val="right" w:pos="8504" w:leader="dot"/>
        </w:tabs>
        <w:rPr/>
      </w:pPr>
      <w:r>
        <w:fldChar w:fldCharType="begin"/>
      </w:r>
      <w:r>
        <w:rPr>
          <w:rStyle w:val="IndexLink"/>
        </w:rPr>
        <w:instrText> TOC \c "Figure" </w:instrText>
      </w:r>
      <w:r>
        <w:rPr>
          <w:rStyle w:val="IndexLink"/>
        </w:rPr>
        <w:fldChar w:fldCharType="separate"/>
      </w:r>
      <w:hyperlink w:anchor="Figure!0|sequence">
        <w:r>
          <w:rPr>
            <w:rStyle w:val="IndexLink"/>
          </w:rPr>
          <w:t>Figure 1 - Proteome</w:t>
          <w:tab/>
          <w:t>2</w:t>
        </w:r>
      </w:hyperlink>
    </w:p>
    <w:p>
      <w:pPr>
        <w:pStyle w:val="IllustrationIndex1"/>
        <w:tabs>
          <w:tab w:val="right" w:pos="8504" w:leader="dot"/>
        </w:tabs>
        <w:rPr/>
      </w:pPr>
      <w:hyperlink w:anchor="Figure!1|sequence">
        <w:r>
          <w:rPr>
            <w:rStyle w:val="IndexLink"/>
          </w:rPr>
          <w:t>Figure 2 - Efflux Systems</w:t>
          <w:tab/>
          <w:t>6</w:t>
        </w:r>
      </w:hyperlink>
    </w:p>
    <w:p>
      <w:pPr>
        <w:pStyle w:val="IllustrationIndex1"/>
        <w:tabs>
          <w:tab w:val="right" w:pos="8504" w:leader="dot"/>
        </w:tabs>
        <w:rPr/>
      </w:pPr>
      <w:hyperlink w:anchor="Figure!2|sequence">
        <w:r>
          <w:rPr>
            <w:rStyle w:val="IndexLink"/>
          </w:rPr>
          <w:t>Figure 3 - Energy Source of Efflux Proteins</w:t>
          <w:tab/>
          <w:t>7</w:t>
        </w:r>
      </w:hyperlink>
    </w:p>
    <w:p>
      <w:pPr>
        <w:pStyle w:val="IllustrationIndex1"/>
        <w:tabs>
          <w:tab w:val="right" w:pos="8504" w:leader="dot"/>
        </w:tabs>
        <w:rPr/>
      </w:pPr>
      <w:hyperlink w:anchor="Figure!3|sequence">
        <w:r>
          <w:rPr>
            <w:rStyle w:val="IndexLink"/>
          </w:rPr>
          <w:t>Figure 4 - Efflux Systems Function</w:t>
          <w:tab/>
          <w:t>8</w:t>
        </w:r>
      </w:hyperlink>
    </w:p>
    <w:p>
      <w:pPr>
        <w:pStyle w:val="IllustrationIndex1"/>
        <w:tabs>
          <w:tab w:val="right" w:pos="8504" w:leader="dot"/>
        </w:tabs>
        <w:rPr/>
      </w:pPr>
      <w:hyperlink w:anchor="Figure!4|sequence">
        <w:r>
          <w:rPr>
            <w:rStyle w:val="IndexLink"/>
          </w:rPr>
          <w:t>Figure 5 - Transporter Classification Database Website</w:t>
          <w:tab/>
          <w:t>19</w:t>
        </w:r>
      </w:hyperlink>
    </w:p>
    <w:p>
      <w:pPr>
        <w:pStyle w:val="IllustrationIndex1"/>
        <w:tabs>
          <w:tab w:val="right" w:pos="8504" w:leader="dot"/>
        </w:tabs>
        <w:rPr/>
      </w:pPr>
      <w:hyperlink w:anchor="Figure!5|sequence">
        <w:r>
          <w:rPr>
            <w:rStyle w:val="IndexLink"/>
          </w:rPr>
          <w:t>Figure 6 - Discrimination Class A</w:t>
          <w:tab/>
          <w:t>21</w:t>
        </w:r>
      </w:hyperlink>
    </w:p>
    <w:p>
      <w:pPr>
        <w:pStyle w:val="IllustrationIndex1"/>
        <w:tabs>
          <w:tab w:val="right" w:pos="8504" w:leader="dot"/>
        </w:tabs>
        <w:rPr/>
      </w:pPr>
      <w:hyperlink w:anchor="Figure!6|sequence">
        <w:r>
          <w:rPr>
            <w:rStyle w:val="IndexLink"/>
          </w:rPr>
          <w:t>Figure 7 - Discrimination Class B</w:t>
          <w:tab/>
          <w:t>21</w:t>
        </w:r>
      </w:hyperlink>
    </w:p>
    <w:p>
      <w:pPr>
        <w:pStyle w:val="IllustrationIndex1"/>
        <w:tabs>
          <w:tab w:val="right" w:pos="8504" w:leader="dot"/>
        </w:tabs>
        <w:rPr/>
      </w:pPr>
      <w:hyperlink w:anchor="Figure!7|sequence">
        <w:r>
          <w:rPr>
            <w:rStyle w:val="IndexLink"/>
          </w:rPr>
          <w:t>Figure 8 - Discrimination Class C</w:t>
          <w:tab/>
          <w:t>22</w:t>
        </w:r>
      </w:hyperlink>
    </w:p>
    <w:p>
      <w:pPr>
        <w:pStyle w:val="IllustrationIndex1"/>
        <w:tabs>
          <w:tab w:val="right" w:pos="8504" w:leader="dot"/>
        </w:tabs>
        <w:rPr/>
      </w:pPr>
      <w:hyperlink w:anchor="Figure!8|sequence">
        <w:r>
          <w:rPr>
            <w:rStyle w:val="IndexLink"/>
          </w:rPr>
          <w:t>Figure 9 - The Architecture of Classification Efflux Protein Family</w:t>
          <w:tab/>
          <w:t>23</w:t>
        </w:r>
      </w:hyperlink>
    </w:p>
    <w:p>
      <w:pPr>
        <w:pStyle w:val="IllustrationIndex1"/>
        <w:tabs>
          <w:tab w:val="right" w:pos="8504" w:leader="dot"/>
        </w:tabs>
        <w:rPr/>
      </w:pPr>
      <w:hyperlink w:anchor="Figure!9|sequence">
        <w:r>
          <w:rPr>
            <w:rStyle w:val="IndexLink"/>
          </w:rPr>
          <w:t>Figure 10 - AAindex Method</w:t>
          <w:tab/>
          <w:t>24</w:t>
        </w:r>
      </w:hyperlink>
    </w:p>
    <w:p>
      <w:pPr>
        <w:pStyle w:val="IllustrationIndex1"/>
        <w:tabs>
          <w:tab w:val="right" w:pos="8504" w:leader="dot"/>
        </w:tabs>
        <w:rPr/>
      </w:pPr>
      <w:hyperlink w:anchor="Figure!10|sequence">
        <w:r>
          <w:rPr>
            <w:rStyle w:val="IndexLink"/>
          </w:rPr>
          <w:t>Figure 11 - Standard Deviation</w:t>
          <w:tab/>
          <w:t>25</w:t>
        </w:r>
      </w:hyperlink>
    </w:p>
    <w:p>
      <w:pPr>
        <w:pStyle w:val="IllustrationIndex1"/>
        <w:tabs>
          <w:tab w:val="right" w:pos="8504" w:leader="dot"/>
        </w:tabs>
        <w:rPr/>
      </w:pPr>
      <w:hyperlink w:anchor="Figure!11|sequence">
        <w:r>
          <w:rPr>
            <w:rStyle w:val="IndexLink"/>
          </w:rPr>
          <w:t>Figure 12 - Distance between data points in different classes</w:t>
          <w:tab/>
          <w:t>26</w:t>
        </w:r>
      </w:hyperlink>
    </w:p>
    <w:p>
      <w:pPr>
        <w:pStyle w:val="IllustrationIndex1"/>
        <w:tabs>
          <w:tab w:val="right" w:pos="8504" w:leader="dot"/>
        </w:tabs>
        <w:rPr/>
      </w:pPr>
      <w:hyperlink w:anchor="Figure!12|sequence">
        <w:r>
          <w:rPr>
            <w:rStyle w:val="IndexLink"/>
          </w:rPr>
          <w:t>Figure 13 - Architecture of Radial Basis Function Networks</w:t>
          <w:tab/>
          <w:t>28</w:t>
        </w:r>
      </w:hyperlink>
    </w:p>
    <w:p>
      <w:pPr>
        <w:pStyle w:val="IllustrationIndex1"/>
        <w:tabs>
          <w:tab w:val="right" w:pos="8504" w:leader="dot"/>
        </w:tabs>
        <w:rPr/>
      </w:pPr>
      <w:hyperlink w:anchor="Figure!13|sequence">
        <w:r>
          <w:rPr>
            <w:rStyle w:val="IndexLink"/>
          </w:rPr>
          <w:t>Figure 14 - Graphical User Interface (GUI) of QuickRBF Classifier</w:t>
          <w:tab/>
          <w:t>28</w:t>
        </w:r>
      </w:hyperlink>
    </w:p>
    <w:p>
      <w:pPr>
        <w:pStyle w:val="IllustrationIndex1"/>
        <w:tabs>
          <w:tab w:val="right" w:pos="8504" w:leader="dot"/>
        </w:tabs>
        <w:rPr/>
      </w:pPr>
      <w:hyperlink w:anchor="Figure!14|sequence">
        <w:r>
          <w:rPr>
            <w:rStyle w:val="IndexLink"/>
          </w:rPr>
          <w:t>Figure 15 - Discriminant Function</w:t>
          <w:tab/>
          <w:t>29</w:t>
        </w:r>
      </w:hyperlink>
    </w:p>
    <w:p>
      <w:pPr>
        <w:pStyle w:val="IllustrationIndex1"/>
        <w:tabs>
          <w:tab w:val="right" w:pos="8504" w:leader="dot"/>
        </w:tabs>
        <w:rPr/>
      </w:pPr>
      <w:hyperlink w:anchor="Figure!15|sequence">
        <w:r>
          <w:rPr>
            <w:rStyle w:val="IndexLink"/>
          </w:rPr>
          <w:t>Figure 16 - SVM Kernel Functions</w:t>
          <w:tab/>
          <w:t>30</w:t>
        </w:r>
      </w:hyperlink>
    </w:p>
    <w:p>
      <w:pPr>
        <w:pStyle w:val="IllustrationIndex1"/>
        <w:tabs>
          <w:tab w:val="right" w:pos="8504" w:leader="dot"/>
        </w:tabs>
        <w:rPr/>
      </w:pPr>
      <w:hyperlink w:anchor="Figure!16|sequence">
        <w:r>
          <w:rPr>
            <w:rStyle w:val="IndexLink"/>
          </w:rPr>
          <w:t>Figure 17 - Comparison of SVM Kernels</w:t>
          <w:tab/>
          <w:t>30</w:t>
        </w:r>
      </w:hyperlink>
    </w:p>
    <w:p>
      <w:pPr>
        <w:pStyle w:val="IllustrationIndex1"/>
        <w:tabs>
          <w:tab w:val="right" w:pos="8504" w:leader="dot"/>
        </w:tabs>
        <w:rPr/>
      </w:pPr>
      <w:hyperlink w:anchor="Figure!17|sequence">
        <w:r>
          <w:rPr>
            <w:rStyle w:val="IndexLink"/>
          </w:rPr>
          <w:t>Figure 18 - PSSM Method</w:t>
          <w:tab/>
          <w:t>34</w:t>
        </w:r>
      </w:hyperlink>
    </w:p>
    <w:p>
      <w:pPr>
        <w:pStyle w:val="IllustrationIndex1"/>
        <w:tabs>
          <w:tab w:val="right" w:pos="8504" w:leader="dot"/>
        </w:tabs>
        <w:rPr/>
      </w:pPr>
      <w:hyperlink w:anchor="Figure!18|sequence">
        <w:r>
          <w:rPr>
            <w:rStyle w:val="IndexLink"/>
          </w:rPr>
          <w:t>Figure 19 - AAC Method</w:t>
          <w:tab/>
          <w:t>35</w:t>
        </w:r>
      </w:hyperlink>
    </w:p>
    <w:p>
      <w:pPr>
        <w:pStyle w:val="IllustrationIndex1"/>
        <w:tabs>
          <w:tab w:val="right" w:pos="8504" w:leader="dot"/>
        </w:tabs>
        <w:rPr/>
      </w:pPr>
      <w:hyperlink w:anchor="Figure!19|sequence">
        <w:r>
          <w:rPr>
            <w:rStyle w:val="IndexLink"/>
          </w:rPr>
          <w:t>Figure 20 - DPC Method</w:t>
          <w:tab/>
          <w:t>36</w:t>
        </w:r>
      </w:hyperlink>
    </w:p>
    <w:p>
      <w:pPr>
        <w:pStyle w:val="IllustrationIndex1"/>
        <w:tabs>
          <w:tab w:val="right" w:pos="8504" w:leader="dot"/>
        </w:tabs>
        <w:rPr/>
      </w:pPr>
      <w:hyperlink w:anchor="Figure!20|sequence">
        <w:r>
          <w:rPr>
            <w:rStyle w:val="IndexLink"/>
          </w:rPr>
          <w:t>Figure 21 - Amino Acid Composition in three classes of Efflux Proteins</w:t>
          <w:tab/>
          <w:t>39</w:t>
        </w:r>
      </w:hyperlink>
    </w:p>
    <w:p>
      <w:pPr>
        <w:pStyle w:val="IllustrationIndex1"/>
        <w:tabs>
          <w:tab w:val="right" w:pos="8504" w:leader="dot"/>
        </w:tabs>
        <w:rPr/>
      </w:pPr>
      <w:hyperlink w:anchor="Figure!21|sequence">
        <w:r>
          <w:rPr>
            <w:rStyle w:val="IndexLink"/>
          </w:rPr>
          <w:t>Figure 22 - Topmost F-Score in three classes Efflux Proteins of Amino Acid Composition</w:t>
          <w:tab/>
          <w:t>39</w:t>
        </w:r>
      </w:hyperlink>
    </w:p>
    <w:p>
      <w:pPr>
        <w:pStyle w:val="IllustrationIndex1"/>
        <w:tabs>
          <w:tab w:val="right" w:pos="8504" w:leader="dot"/>
        </w:tabs>
        <w:rPr/>
      </w:pPr>
      <w:hyperlink w:anchor="Figure!22|sequence">
        <w:r>
          <w:rPr>
            <w:rStyle w:val="IndexLink"/>
          </w:rPr>
          <w:t>Figure 23 - 20 Topmost F-Score in three classes Efflux Proteins of Dipeptide Composition</w:t>
          <w:tab/>
          <w:t>42</w:t>
        </w:r>
      </w:hyperlink>
    </w:p>
    <w:p>
      <w:pPr>
        <w:pStyle w:val="IllustrationIndex1"/>
        <w:tabs>
          <w:tab w:val="right" w:pos="8504" w:leader="dot"/>
        </w:tabs>
        <w:rPr/>
      </w:pPr>
      <w:hyperlink w:anchor="Figure!23|sequence">
        <w:r>
          <w:rPr>
            <w:rStyle w:val="IndexLink"/>
          </w:rPr>
          <w:t>Figure 24 - 20 Topmost F-Score in three classes Efflux Proteins of Amino Acid Index</w:t>
          <w:tab/>
          <w:t>43</w:t>
        </w:r>
      </w:hyperlink>
    </w:p>
    <w:p>
      <w:pPr>
        <w:pStyle w:val="IllustrationIndex1"/>
        <w:tabs>
          <w:tab w:val="right" w:pos="8504" w:leader="dot"/>
        </w:tabs>
        <w:rPr/>
      </w:pPr>
      <w:hyperlink w:anchor="Figure!24|sequence">
        <w:r>
          <w:rPr>
            <w:rStyle w:val="IndexLink"/>
          </w:rPr>
          <w:t>Figure 25 - Topmost F-scores of AAIndex for four parts of Class 1</w:t>
          <w:tab/>
          <w:t>47</w:t>
        </w:r>
      </w:hyperlink>
    </w:p>
    <w:p>
      <w:pPr>
        <w:pStyle w:val="IllustrationIndex1"/>
        <w:tabs>
          <w:tab w:val="right" w:pos="8504" w:leader="dot"/>
        </w:tabs>
        <w:rPr/>
      </w:pPr>
      <w:hyperlink w:anchor="Figure!25|sequence">
        <w:r>
          <w:rPr>
            <w:rStyle w:val="IndexLink"/>
          </w:rPr>
          <w:t>Figure 26 - Topmost F-scores of AAIndex for four parts of Class 2</w:t>
          <w:tab/>
          <w:t>48</w:t>
        </w:r>
      </w:hyperlink>
    </w:p>
    <w:p>
      <w:pPr>
        <w:pStyle w:val="IllustrationIndex1"/>
        <w:tabs>
          <w:tab w:val="right" w:pos="8504" w:leader="dot"/>
        </w:tabs>
        <w:rPr/>
      </w:pPr>
      <w:hyperlink w:anchor="Figure!26|sequence">
        <w:r>
          <w:rPr>
            <w:rStyle w:val="IndexLink"/>
          </w:rPr>
          <w:t>Figure 27 - Topmost F-scores of AAIndex for four parts of Class 3</w:t>
          <w:tab/>
          <w:t>49</w:t>
        </w:r>
      </w:hyperlink>
    </w:p>
    <w:p>
      <w:pPr>
        <w:pStyle w:val="IllustrationIndex1"/>
        <w:tabs>
          <w:tab w:val="right" w:pos="8504" w:leader="dot"/>
        </w:tabs>
        <w:rPr/>
      </w:pPr>
      <w:hyperlink w:anchor="Figure!27|sequence">
        <w:r>
          <w:rPr>
            <w:rStyle w:val="IndexLink"/>
          </w:rPr>
          <w:t>Figure 28 - Topmost F-scores of AAIndex for 10–250 amino acid residues in Class 1</w:t>
          <w:tab/>
          <w:t>49</w:t>
        </w:r>
      </w:hyperlink>
    </w:p>
    <w:p>
      <w:pPr>
        <w:pStyle w:val="IllustrationIndex1"/>
        <w:tabs>
          <w:tab w:val="right" w:pos="8504" w:leader="dot"/>
        </w:tabs>
        <w:rPr/>
      </w:pPr>
      <w:hyperlink w:anchor="Figure!28|sequence">
        <w:r>
          <w:rPr>
            <w:rStyle w:val="IndexLink"/>
          </w:rPr>
          <w:t>Figure 29 - Topmost F-scores of AAIndex for 10–250 amino acid residues in Class 2</w:t>
          <w:tab/>
          <w:t>50</w:t>
        </w:r>
      </w:hyperlink>
    </w:p>
    <w:p>
      <w:pPr>
        <w:pStyle w:val="IllustrationIndex1"/>
        <w:tabs>
          <w:tab w:val="right" w:pos="8504" w:leader="dot"/>
        </w:tabs>
        <w:rPr/>
      </w:pPr>
      <w:hyperlink w:anchor="Figure!29|sequence">
        <w:r>
          <w:rPr>
            <w:rStyle w:val="IndexLink"/>
          </w:rPr>
          <w:t>Figure 30 - Topmost F-scores of AAIndex for 10–250 amino acid residues in Class 3</w:t>
          <w:tab/>
          <w:t>51</w:t>
        </w:r>
      </w:hyperlink>
    </w:p>
    <w:p>
      <w:pPr>
        <w:pStyle w:val="Normal"/>
        <w:rPr>
          <w:rFonts w:cs="Times New Roman"/>
          <w:lang w:eastAsia="zh-TW"/>
        </w:rPr>
      </w:pPr>
      <w:r>
        <w:rPr>
          <w:rFonts w:cs="Times New Roman"/>
          <w:lang w:eastAsia="zh-TW"/>
        </w:rPr>
      </w:r>
      <w:r>
        <w:rPr>
          <w:rFonts w:cs="Times New Roman"/>
        </w:rPr>
        <w:fldChar w:fldCharType="end"/>
      </w:r>
      <w:r>
        <w:br w:type="page"/>
      </w:r>
    </w:p>
    <w:p>
      <w:pPr>
        <w:pStyle w:val="Heading1"/>
        <w:rPr/>
      </w:pPr>
      <w:bookmarkStart w:id="13" w:name="__RefHeading___Toc27322_277794404"/>
      <w:bookmarkStart w:id="14" w:name="_Toc455040180"/>
      <w:bookmarkEnd w:id="13"/>
      <w:r>
        <w:rPr>
          <w:rFonts w:cs="Times New Roman"/>
          <w:lang w:eastAsia="zh-TW"/>
        </w:rPr>
        <w:t>Table of Tables</w:t>
      </w:r>
      <w:bookmarkEnd w:id="14"/>
    </w:p>
    <w:p>
      <w:pPr>
        <w:pStyle w:val="Tableoffigures"/>
        <w:tabs>
          <w:tab w:val="right" w:pos="8495" w:leader="dot"/>
        </w:tabs>
        <w:rPr>
          <w:rFonts w:ascii="Calibri" w:hAnsi="Calibri" w:asciiTheme="minorHAnsi" w:hAnsiTheme="minorHAnsi"/>
          <w:sz w:val="22"/>
          <w:lang w:eastAsia="en-US"/>
        </w:rPr>
      </w:pPr>
      <w:r>
        <w:fldChar w:fldCharType="begin"/>
      </w:r>
      <w:r>
        <w:rPr>
          <w:rStyle w:val="IndexLink"/>
          <w:b/>
        </w:rPr>
        <w:instrText> TOC \c "Table" </w:instrText>
      </w:r>
      <w:r>
        <w:rPr>
          <w:rStyle w:val="IndexLink"/>
          <w:b/>
        </w:rPr>
        <w:fldChar w:fldCharType="separate"/>
      </w:r>
      <w:hyperlink w:anchor="_Toc454736512">
        <w:r>
          <w:rPr>
            <w:rStyle w:val="IndexLink"/>
            <w:b/>
          </w:rPr>
          <w:t>Table 1</w:t>
        </w:r>
        <w:r>
          <w:rPr>
            <w:rStyle w:val="IndexLink"/>
            <w:rFonts w:cs="Times New Roman"/>
          </w:rPr>
          <w:t xml:space="preserve"> - Efflux Families [26]</w:t>
        </w:r>
        <w:r>
          <w:rPr>
            <w:webHidden/>
          </w:rPr>
          <w:fldChar w:fldCharType="begin"/>
        </w:r>
        <w:r>
          <w:rPr>
            <w:webHidden/>
          </w:rPr>
          <w:instrText>PAGEREF _Toc454736512 \h</w:instrText>
        </w:r>
        <w:r>
          <w:rPr>
            <w:webHidden/>
          </w:rPr>
          <w:fldChar w:fldCharType="separate"/>
        </w:r>
        <w:r>
          <w:rPr>
            <w:rStyle w:val="IndexLink"/>
            <w:vanish w:val="false"/>
          </w:rPr>
          <w:tab/>
          <w:t>5</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13">
        <w:r>
          <w:rPr>
            <w:rStyle w:val="IndexLink"/>
            <w:b/>
          </w:rPr>
          <w:t>Table 2</w:t>
        </w:r>
        <w:r>
          <w:rPr>
            <w:rStyle w:val="IndexLink"/>
          </w:rPr>
          <w:t xml:space="preserve"> </w:t>
        </w:r>
        <w:r>
          <w:rPr>
            <w:rStyle w:val="IndexLink"/>
            <w:rFonts w:cs="Times New Roman"/>
          </w:rPr>
          <w:t xml:space="preserve">- </w:t>
        </w:r>
        <w:r>
          <w:rPr>
            <w:rStyle w:val="IndexLink"/>
            <w:rFonts w:cs="Times New Roman"/>
            <w:bCs/>
          </w:rPr>
          <w:t>The Major Facilitator Superfamily [26]</w:t>
        </w:r>
        <w:r>
          <w:rPr>
            <w:webHidden/>
          </w:rPr>
          <w:fldChar w:fldCharType="begin"/>
        </w:r>
        <w:r>
          <w:rPr>
            <w:webHidden/>
          </w:rPr>
          <w:instrText>PAGEREF _Toc454736513 \h</w:instrText>
        </w:r>
        <w:r>
          <w:rPr>
            <w:webHidden/>
          </w:rPr>
          <w:fldChar w:fldCharType="separate"/>
        </w:r>
        <w:r>
          <w:rPr>
            <w:rStyle w:val="IndexLink"/>
            <w:vanish w:val="false"/>
          </w:rPr>
          <w:tab/>
          <w:t>10</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14">
        <w:r>
          <w:rPr>
            <w:rStyle w:val="IndexLink"/>
            <w:b/>
          </w:rPr>
          <w:t>Table 3</w:t>
        </w:r>
        <w:r>
          <w:rPr>
            <w:rStyle w:val="IndexLink"/>
          </w:rPr>
          <w:t xml:space="preserve"> </w:t>
        </w:r>
        <w:r>
          <w:rPr>
            <w:rStyle w:val="IndexLink"/>
            <w:rFonts w:cs="Times New Roman"/>
          </w:rPr>
          <w:t xml:space="preserve">- </w:t>
        </w:r>
        <w:r>
          <w:rPr>
            <w:rStyle w:val="IndexLink"/>
            <w:rFonts w:cs="Times New Roman"/>
            <w:bCs/>
          </w:rPr>
          <w:t>The Resistance Nodulation Cell Division Superfamily [26]</w:t>
        </w:r>
        <w:r>
          <w:rPr>
            <w:webHidden/>
          </w:rPr>
          <w:fldChar w:fldCharType="begin"/>
        </w:r>
        <w:r>
          <w:rPr>
            <w:webHidden/>
          </w:rPr>
          <w:instrText>PAGEREF _Toc454736514 \h</w:instrText>
        </w:r>
        <w:r>
          <w:rPr>
            <w:webHidden/>
          </w:rPr>
          <w:fldChar w:fldCharType="separate"/>
        </w:r>
        <w:r>
          <w:rPr>
            <w:rStyle w:val="IndexLink"/>
            <w:vanish w:val="false"/>
          </w:rPr>
          <w:tab/>
          <w:t>13</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15">
        <w:r>
          <w:rPr>
            <w:rStyle w:val="IndexLink"/>
            <w:b/>
          </w:rPr>
          <w:t>Table 4</w:t>
        </w:r>
        <w:r>
          <w:rPr>
            <w:rStyle w:val="IndexLink"/>
          </w:rPr>
          <w:t xml:space="preserve"> </w:t>
        </w:r>
        <w:r>
          <w:rPr>
            <w:rStyle w:val="IndexLink"/>
            <w:rFonts w:cs="Times New Roman"/>
          </w:rPr>
          <w:t xml:space="preserve">- </w:t>
        </w:r>
        <w:r>
          <w:rPr>
            <w:rStyle w:val="IndexLink"/>
            <w:rFonts w:cs="Times New Roman"/>
            <w:bCs/>
          </w:rPr>
          <w:t>The ATP-binding Cassette Superfamily [26]</w:t>
        </w:r>
        <w:r>
          <w:rPr>
            <w:webHidden/>
          </w:rPr>
          <w:fldChar w:fldCharType="begin"/>
        </w:r>
        <w:r>
          <w:rPr>
            <w:webHidden/>
          </w:rPr>
          <w:instrText>PAGEREF _Toc454736515 \h</w:instrText>
        </w:r>
        <w:r>
          <w:rPr>
            <w:webHidden/>
          </w:rPr>
          <w:fldChar w:fldCharType="separate"/>
        </w:r>
        <w:r>
          <w:rPr>
            <w:rStyle w:val="IndexLink"/>
            <w:vanish w:val="false"/>
          </w:rPr>
          <w:tab/>
          <w:t>14</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16">
        <w:r>
          <w:rPr>
            <w:rStyle w:val="IndexLink"/>
            <w:b/>
          </w:rPr>
          <w:t>Table 5</w:t>
        </w:r>
        <w:r>
          <w:rPr>
            <w:rStyle w:val="IndexLink"/>
          </w:rPr>
          <w:t xml:space="preserve"> </w:t>
        </w:r>
        <w:r>
          <w:rPr>
            <w:rStyle w:val="IndexLink"/>
            <w:rFonts w:cs="Times New Roman"/>
          </w:rPr>
          <w:t>- Datasets of Efflux Families</w:t>
        </w:r>
        <w:r>
          <w:rPr>
            <w:webHidden/>
          </w:rPr>
          <w:fldChar w:fldCharType="begin"/>
        </w:r>
        <w:r>
          <w:rPr>
            <w:webHidden/>
          </w:rPr>
          <w:instrText>PAGEREF _Toc454736516 \h</w:instrText>
        </w:r>
        <w:r>
          <w:rPr>
            <w:webHidden/>
          </w:rPr>
          <w:fldChar w:fldCharType="separate"/>
        </w:r>
        <w:r>
          <w:rPr>
            <w:rStyle w:val="IndexLink"/>
            <w:vanish w:val="false"/>
          </w:rPr>
          <w:tab/>
          <w:t>19</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17">
        <w:r>
          <w:rPr>
            <w:rStyle w:val="IndexLink"/>
            <w:b/>
          </w:rPr>
          <w:t>Table 6</w:t>
        </w:r>
        <w:r>
          <w:rPr>
            <w:rStyle w:val="IndexLink"/>
          </w:rPr>
          <w:t xml:space="preserve"> </w:t>
        </w:r>
        <w:r>
          <w:rPr>
            <w:rStyle w:val="IndexLink"/>
            <w:rFonts w:cs="Times New Roman"/>
          </w:rPr>
          <w:t>- Properties with 20 Topmost F-scores for Classification of Efflux Proteins</w:t>
        </w:r>
        <w:r>
          <w:rPr>
            <w:webHidden/>
          </w:rPr>
          <w:fldChar w:fldCharType="begin"/>
        </w:r>
        <w:r>
          <w:rPr>
            <w:webHidden/>
          </w:rPr>
          <w:instrText>PAGEREF _Toc454736517 \h</w:instrText>
        </w:r>
        <w:r>
          <w:rPr>
            <w:webHidden/>
          </w:rPr>
          <w:fldChar w:fldCharType="separate"/>
        </w:r>
        <w:r>
          <w:rPr>
            <w:rStyle w:val="IndexLink"/>
            <w:vanish w:val="false"/>
          </w:rPr>
          <w:tab/>
          <w:t>35</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18">
        <w:r>
          <w:rPr>
            <w:rStyle w:val="IndexLink"/>
            <w:b/>
          </w:rPr>
          <w:t>Table 7</w:t>
        </w:r>
        <w:r>
          <w:rPr>
            <w:rStyle w:val="IndexLink"/>
          </w:rPr>
          <w:t xml:space="preserve"> - </w:t>
        </w:r>
        <w:r>
          <w:rPr>
            <w:rStyle w:val="IndexLink"/>
            <w:rFonts w:cs="Times New Roman"/>
            <w:bCs/>
            <w:lang w:eastAsia="zh-TW"/>
          </w:rPr>
          <w:t>Performance of Different Feature sets in Class 1</w:t>
        </w:r>
        <w:r>
          <w:rPr>
            <w:webHidden/>
          </w:rPr>
          <w:fldChar w:fldCharType="begin"/>
        </w:r>
        <w:r>
          <w:rPr>
            <w:webHidden/>
          </w:rPr>
          <w:instrText>PAGEREF _Toc454736518 \h</w:instrText>
        </w:r>
        <w:r>
          <w:rPr>
            <w:webHidden/>
          </w:rPr>
          <w:fldChar w:fldCharType="separate"/>
        </w:r>
        <w:r>
          <w:rPr>
            <w:rStyle w:val="IndexLink"/>
            <w:vanish w:val="false"/>
          </w:rPr>
          <w:tab/>
          <w:t>37</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19">
        <w:r>
          <w:rPr>
            <w:rStyle w:val="IndexLink"/>
            <w:b/>
          </w:rPr>
          <w:t>Table 8</w:t>
        </w:r>
        <w:r>
          <w:rPr>
            <w:rStyle w:val="IndexLink"/>
          </w:rPr>
          <w:t xml:space="preserve"> - </w:t>
        </w:r>
        <w:r>
          <w:rPr>
            <w:rStyle w:val="IndexLink"/>
            <w:rFonts w:cs="Times New Roman"/>
            <w:bCs/>
            <w:lang w:eastAsia="zh-TW"/>
          </w:rPr>
          <w:t>Performance of Different Feature sets in Class 2</w:t>
        </w:r>
        <w:r>
          <w:rPr>
            <w:webHidden/>
          </w:rPr>
          <w:fldChar w:fldCharType="begin"/>
        </w:r>
        <w:r>
          <w:rPr>
            <w:webHidden/>
          </w:rPr>
          <w:instrText>PAGEREF _Toc454736519 \h</w:instrText>
        </w:r>
        <w:r>
          <w:rPr>
            <w:webHidden/>
          </w:rPr>
          <w:fldChar w:fldCharType="separate"/>
        </w:r>
        <w:r>
          <w:rPr>
            <w:rStyle w:val="IndexLink"/>
            <w:vanish w:val="false"/>
          </w:rPr>
          <w:tab/>
          <w:t>37</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20">
        <w:r>
          <w:rPr>
            <w:rStyle w:val="IndexLink"/>
            <w:b/>
          </w:rPr>
          <w:t>Table 9</w:t>
        </w:r>
        <w:r>
          <w:rPr>
            <w:rStyle w:val="IndexLink"/>
          </w:rPr>
          <w:t xml:space="preserve"> - </w:t>
        </w:r>
        <w:r>
          <w:rPr>
            <w:rStyle w:val="IndexLink"/>
            <w:rFonts w:cs="Times New Roman"/>
            <w:bCs/>
            <w:lang w:eastAsia="zh-TW"/>
          </w:rPr>
          <w:t>Performance of Different Feature sets in Class 3</w:t>
        </w:r>
        <w:r>
          <w:rPr>
            <w:webHidden/>
          </w:rPr>
          <w:fldChar w:fldCharType="begin"/>
        </w:r>
        <w:r>
          <w:rPr>
            <w:webHidden/>
          </w:rPr>
          <w:instrText>PAGEREF _Toc454736520 \h</w:instrText>
        </w:r>
        <w:r>
          <w:rPr>
            <w:webHidden/>
          </w:rPr>
          <w:fldChar w:fldCharType="separate"/>
        </w:r>
        <w:r>
          <w:rPr>
            <w:rStyle w:val="IndexLink"/>
            <w:vanish w:val="false"/>
          </w:rPr>
          <w:tab/>
          <w:t>38</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21">
        <w:r>
          <w:rPr>
            <w:rStyle w:val="IndexLink"/>
            <w:b/>
          </w:rPr>
          <w:t>Table 10</w:t>
        </w:r>
        <w:r>
          <w:rPr>
            <w:rStyle w:val="IndexLink"/>
          </w:rPr>
          <w:t xml:space="preserve"> - Performance of Different Classifiers</w:t>
        </w:r>
        <w:r>
          <w:rPr>
            <w:rStyle w:val="IndexLink"/>
            <w:rFonts w:cs="Times New Roman"/>
            <w:bCs/>
            <w:lang w:eastAsia="zh-TW"/>
          </w:rPr>
          <w:t xml:space="preserve"> in Class 1</w:t>
        </w:r>
        <w:r>
          <w:rPr>
            <w:webHidden/>
          </w:rPr>
          <w:fldChar w:fldCharType="begin"/>
        </w:r>
        <w:r>
          <w:rPr>
            <w:webHidden/>
          </w:rPr>
          <w:instrText>PAGEREF _Toc454736521 \h</w:instrText>
        </w:r>
        <w:r>
          <w:rPr>
            <w:webHidden/>
          </w:rPr>
          <w:fldChar w:fldCharType="separate"/>
        </w:r>
        <w:r>
          <w:rPr>
            <w:rStyle w:val="IndexLink"/>
            <w:vanish w:val="false"/>
          </w:rPr>
          <w:tab/>
          <w:t>39</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22">
        <w:r>
          <w:rPr>
            <w:rStyle w:val="IndexLink"/>
            <w:b/>
          </w:rPr>
          <w:t>Table 11</w:t>
        </w:r>
        <w:r>
          <w:rPr>
            <w:rStyle w:val="IndexLink"/>
          </w:rPr>
          <w:t xml:space="preserve"> - Performance of Different Classifiers</w:t>
        </w:r>
        <w:r>
          <w:rPr>
            <w:rStyle w:val="IndexLink"/>
            <w:rFonts w:cs="Times New Roman"/>
            <w:bCs/>
            <w:lang w:eastAsia="zh-TW"/>
          </w:rPr>
          <w:t xml:space="preserve"> in Class 2</w:t>
        </w:r>
        <w:r>
          <w:rPr>
            <w:webHidden/>
          </w:rPr>
          <w:fldChar w:fldCharType="begin"/>
        </w:r>
        <w:r>
          <w:rPr>
            <w:webHidden/>
          </w:rPr>
          <w:instrText>PAGEREF _Toc454736522 \h</w:instrText>
        </w:r>
        <w:r>
          <w:rPr>
            <w:webHidden/>
          </w:rPr>
          <w:fldChar w:fldCharType="separate"/>
        </w:r>
        <w:r>
          <w:rPr>
            <w:rStyle w:val="IndexLink"/>
            <w:vanish w:val="false"/>
          </w:rPr>
          <w:tab/>
          <w:t>39</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23">
        <w:r>
          <w:rPr>
            <w:rStyle w:val="IndexLink"/>
            <w:b/>
          </w:rPr>
          <w:t>Table 12</w:t>
        </w:r>
        <w:r>
          <w:rPr>
            <w:rStyle w:val="IndexLink"/>
          </w:rPr>
          <w:t xml:space="preserve"> - Performance of Different Classifiers</w:t>
        </w:r>
        <w:r>
          <w:rPr>
            <w:rStyle w:val="IndexLink"/>
            <w:rFonts w:cs="Times New Roman"/>
            <w:bCs/>
            <w:lang w:eastAsia="zh-TW"/>
          </w:rPr>
          <w:t xml:space="preserve"> in Class 3</w:t>
        </w:r>
        <w:r>
          <w:rPr>
            <w:webHidden/>
          </w:rPr>
          <w:fldChar w:fldCharType="begin"/>
        </w:r>
        <w:r>
          <w:rPr>
            <w:webHidden/>
          </w:rPr>
          <w:instrText>PAGEREF _Toc454736523 \h</w:instrText>
        </w:r>
        <w:r>
          <w:rPr>
            <w:webHidden/>
          </w:rPr>
          <w:fldChar w:fldCharType="separate"/>
        </w:r>
        <w:r>
          <w:rPr>
            <w:rStyle w:val="IndexLink"/>
            <w:vanish w:val="false"/>
          </w:rPr>
          <w:tab/>
          <w:t>39</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24">
        <w:r>
          <w:rPr>
            <w:rStyle w:val="IndexLink"/>
            <w:b/>
          </w:rPr>
          <w:t>Table 13</w:t>
        </w:r>
        <w:r>
          <w:rPr>
            <w:rStyle w:val="IndexLink"/>
          </w:rPr>
          <w:t xml:space="preserve"> - 20 selected Amino Acid Indices in Class 1</w:t>
        </w:r>
        <w:r>
          <w:rPr>
            <w:webHidden/>
          </w:rPr>
          <w:fldChar w:fldCharType="begin"/>
        </w:r>
        <w:r>
          <w:rPr>
            <w:webHidden/>
          </w:rPr>
          <w:instrText>PAGEREF _Toc454736524 \h</w:instrText>
        </w:r>
        <w:r>
          <w:rPr>
            <w:webHidden/>
          </w:rPr>
          <w:fldChar w:fldCharType="separate"/>
        </w:r>
        <w:r>
          <w:rPr>
            <w:rStyle w:val="IndexLink"/>
            <w:vanish w:val="false"/>
          </w:rPr>
          <w:tab/>
          <w:t>40</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25">
        <w:r>
          <w:rPr>
            <w:rStyle w:val="IndexLink"/>
            <w:b/>
          </w:rPr>
          <w:t>Table 14</w:t>
        </w:r>
        <w:r>
          <w:rPr>
            <w:rStyle w:val="IndexLink"/>
          </w:rPr>
          <w:t xml:space="preserve"> - 20 selected Amino Acid Indices in Class 2</w:t>
        </w:r>
        <w:r>
          <w:rPr>
            <w:webHidden/>
          </w:rPr>
          <w:fldChar w:fldCharType="begin"/>
        </w:r>
        <w:r>
          <w:rPr>
            <w:webHidden/>
          </w:rPr>
          <w:instrText>PAGEREF _Toc454736525 \h</w:instrText>
        </w:r>
        <w:r>
          <w:rPr>
            <w:webHidden/>
          </w:rPr>
          <w:fldChar w:fldCharType="separate"/>
        </w:r>
        <w:r>
          <w:rPr>
            <w:rStyle w:val="IndexLink"/>
            <w:vanish w:val="false"/>
          </w:rPr>
          <w:tab/>
          <w:t>41</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26">
        <w:r>
          <w:rPr>
            <w:rStyle w:val="IndexLink"/>
            <w:b/>
          </w:rPr>
          <w:t>Table 15</w:t>
        </w:r>
        <w:r>
          <w:rPr>
            <w:rStyle w:val="IndexLink"/>
          </w:rPr>
          <w:t xml:space="preserve"> - 20 selected Amino Acid Indices in Class 3</w:t>
        </w:r>
        <w:r>
          <w:rPr>
            <w:webHidden/>
          </w:rPr>
          <w:fldChar w:fldCharType="begin"/>
        </w:r>
        <w:r>
          <w:rPr>
            <w:webHidden/>
          </w:rPr>
          <w:instrText>PAGEREF _Toc454736526 \h</w:instrText>
        </w:r>
        <w:r>
          <w:rPr>
            <w:webHidden/>
          </w:rPr>
          <w:fldChar w:fldCharType="separate"/>
        </w:r>
        <w:r>
          <w:rPr>
            <w:rStyle w:val="IndexLink"/>
            <w:vanish w:val="false"/>
          </w:rPr>
          <w:tab/>
          <w:t>42</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27">
        <w:r>
          <w:rPr>
            <w:rStyle w:val="IndexLink"/>
            <w:b/>
          </w:rPr>
          <w:t>Table 16</w:t>
        </w:r>
        <w:r>
          <w:rPr>
            <w:rStyle w:val="IndexLink"/>
          </w:rPr>
          <w:t xml:space="preserve"> - Identify using the present method in E. coli</w:t>
        </w:r>
        <w:r>
          <w:rPr>
            <w:webHidden/>
          </w:rPr>
          <w:fldChar w:fldCharType="begin"/>
        </w:r>
        <w:r>
          <w:rPr>
            <w:webHidden/>
          </w:rPr>
          <w:instrText>PAGEREF _Toc454736527 \h</w:instrText>
        </w:r>
        <w:r>
          <w:rPr>
            <w:webHidden/>
          </w:rPr>
          <w:fldChar w:fldCharType="separate"/>
        </w:r>
        <w:r>
          <w:rPr>
            <w:rStyle w:val="IndexLink"/>
            <w:vanish w:val="false"/>
          </w:rPr>
          <w:tab/>
          <w:t>45</w:t>
        </w:r>
        <w:r>
          <w:rPr>
            <w:webHidden/>
          </w:rPr>
          <w:fldChar w:fldCharType="end"/>
        </w:r>
      </w:hyperlink>
    </w:p>
    <w:p>
      <w:pPr>
        <w:pStyle w:val="Tableoffigures"/>
        <w:tabs>
          <w:tab w:val="right" w:pos="8495" w:leader="dot"/>
        </w:tabs>
        <w:rPr>
          <w:rFonts w:ascii="Calibri" w:hAnsi="Calibri" w:asciiTheme="minorHAnsi" w:hAnsiTheme="minorHAnsi"/>
          <w:sz w:val="22"/>
          <w:lang w:eastAsia="en-US"/>
        </w:rPr>
      </w:pPr>
      <w:hyperlink w:anchor="_Toc454736528">
        <w:r>
          <w:rPr>
            <w:rStyle w:val="IndexLink"/>
            <w:b/>
          </w:rPr>
          <w:t>Table 17</w:t>
        </w:r>
        <w:r>
          <w:rPr>
            <w:rStyle w:val="IndexLink"/>
          </w:rPr>
          <w:t xml:space="preserve"> - Identify using the present method in P. aeruginosa</w:t>
        </w:r>
        <w:r>
          <w:rPr>
            <w:webHidden/>
          </w:rPr>
          <w:fldChar w:fldCharType="begin"/>
        </w:r>
        <w:r>
          <w:rPr>
            <w:webHidden/>
          </w:rPr>
          <w:instrText>PAGEREF _Toc454736528 \h</w:instrText>
        </w:r>
        <w:r>
          <w:rPr>
            <w:webHidden/>
          </w:rPr>
          <w:fldChar w:fldCharType="separate"/>
        </w:r>
        <w:r>
          <w:rPr>
            <w:rStyle w:val="IndexLink"/>
            <w:vanish w:val="false"/>
          </w:rPr>
          <w:tab/>
          <w:t>46</w:t>
        </w:r>
        <w:r>
          <w:rPr>
            <w:webHidden/>
          </w:rPr>
          <w:fldChar w:fldCharType="end"/>
        </w:r>
      </w:hyperlink>
    </w:p>
    <w:p>
      <w:pPr>
        <w:pStyle w:val="Normal"/>
        <w:spacing w:lineRule="auto" w:line="360"/>
        <w:rPr>
          <w:rFonts w:cs="Times New Roman"/>
          <w:szCs w:val="24"/>
          <w:lang w:eastAsia="zh-TW"/>
        </w:rPr>
      </w:pPr>
      <w:r>
        <w:rPr>
          <w:rFonts w:cs="Times New Roman"/>
          <w:szCs w:val="24"/>
          <w:lang w:eastAsia="zh-TW"/>
        </w:rPr>
      </w:r>
      <w:r>
        <w:rPr>
          <w:szCs w:val="24"/>
          <w:rFonts w:cs="Times New Roman"/>
        </w:rPr>
        <w:fldChar w:fldCharType="end"/>
      </w:r>
    </w:p>
    <w:p>
      <w:pPr>
        <w:pStyle w:val="Normal"/>
        <w:rPr>
          <w:rFonts w:cs="Times New Roman"/>
          <w:szCs w:val="24"/>
          <w:lang w:eastAsia="zh-TW"/>
        </w:rPr>
      </w:pPr>
      <w:r>
        <w:rPr>
          <w:rFonts w:cs="Times New Roman"/>
          <w:szCs w:val="24"/>
          <w:lang w:eastAsia="zh-TW"/>
        </w:rPr>
      </w:r>
      <w:r>
        <w:br w:type="page"/>
      </w:r>
    </w:p>
    <w:p>
      <w:pPr>
        <w:pStyle w:val="Heading1"/>
        <w:spacing w:lineRule="auto" w:line="360"/>
        <w:rPr>
          <w:rFonts w:cs="Times New Roman"/>
          <w:b w:val="false"/>
          <w:b w:val="false"/>
          <w:lang w:eastAsia="zh-TW"/>
        </w:rPr>
      </w:pPr>
      <w:r>
        <w:rPr>
          <w:rFonts w:cs="Times New Roman"/>
          <w:b w:val="false"/>
          <w:lang w:eastAsia="zh-TW"/>
        </w:rPr>
      </w:r>
    </w:p>
    <w:p>
      <w:pPr>
        <w:sectPr>
          <w:type w:val="continuous"/>
          <w:pgSz w:w="11906" w:h="16838"/>
          <w:pgMar w:left="2268" w:right="1134" w:header="0" w:top="1985" w:footer="0" w:bottom="1134" w:gutter="0"/>
          <w:formProt w:val="false"/>
          <w:textDirection w:val="lrTb"/>
          <w:docGrid w:type="default" w:linePitch="360" w:charSpace="0"/>
        </w:sectPr>
      </w:pPr>
    </w:p>
    <w:p>
      <w:pPr>
        <w:pStyle w:val="Heading1"/>
        <w:rPr>
          <w:b w:val="false"/>
          <w:b w:val="false"/>
          <w:lang w:eastAsia="zh-TW"/>
        </w:rPr>
      </w:pPr>
      <w:bookmarkStart w:id="15" w:name="__RefHeading___Toc27324_277794404"/>
      <w:bookmarkStart w:id="16" w:name="_Toc455040181"/>
      <w:bookmarkEnd w:id="15"/>
      <w:r>
        <w:rPr>
          <w:lang w:eastAsia="zh-TW"/>
        </w:rPr>
        <w:t>Chapter 1</w:t>
        <w:br/>
        <w:t>Introduction</w:t>
      </w:r>
      <w:bookmarkEnd w:id="16"/>
    </w:p>
    <w:p>
      <w:pPr>
        <w:pStyle w:val="Normal"/>
        <w:spacing w:lineRule="auto" w:line="360"/>
        <w:rPr>
          <w:rFonts w:cs="Times New Roman"/>
          <w:b/>
          <w:b/>
          <w:szCs w:val="24"/>
        </w:rPr>
      </w:pPr>
      <w:r>
        <w:rPr>
          <w:rFonts w:cs="Times New Roman"/>
          <w:b/>
          <w:szCs w:val="24"/>
        </w:rPr>
      </w:r>
    </w:p>
    <w:p>
      <w:pPr>
        <w:pStyle w:val="Heading2"/>
        <w:rPr/>
      </w:pPr>
      <w:bookmarkStart w:id="17" w:name="__RefHeading___Toc27326_277794404"/>
      <w:bookmarkStart w:id="18" w:name="_Toc455040182"/>
      <w:bookmarkEnd w:id="17"/>
      <w:r>
        <w:rPr/>
        <w:t xml:space="preserve">1.1. </w:t>
      </w:r>
      <w:bookmarkEnd w:id="18"/>
      <w:r>
        <w:rPr/>
        <w:t>Background</w:t>
      </w:r>
    </w:p>
    <w:p>
      <w:pPr>
        <w:pStyle w:val="TextBody"/>
        <w:spacing w:lineRule="auto" w:line="360"/>
        <w:ind w:firstLine="720"/>
        <w:rPr>
          <w:b w:val="false"/>
        </w:rPr>
      </w:pPr>
      <w:bookmarkStart w:id="19" w:name="docs-internal-guid-2079d5e0-b616-ba2c-d2"/>
      <w:bookmarkEnd w:id="19"/>
      <w:r>
        <w:rPr>
          <w:rFonts w:cs="Times New Roman" w:ascii="Times New Roman" w:hAnsi="Times New Roman"/>
          <w:b w:val="false"/>
          <w:i w:val="false"/>
          <w:caps w:val="false"/>
          <w:smallCaps w:val="false"/>
          <w:strike w:val="false"/>
          <w:dstrike w:val="false"/>
          <w:color w:val="000000"/>
          <w:sz w:val="24"/>
          <w:szCs w:val="24"/>
          <w:u w:val="none"/>
          <w:effect w:val="none"/>
        </w:rPr>
        <w:t>Prediction of stock market movements is still an open question. Many researchers have been trying to find new method to get better result in stock market prediction by utilizing fundamental analysis, technical analysis through Machine Learning and Neural Network. Many proposed model . . .</w:t>
      </w:r>
      <w:r>
        <w:rPr>
          <w:rFonts w:cs="Times New Roman" w:ascii="Times New Roman" w:hAnsi="Times New Roman"/>
          <w:b w:val="false"/>
          <w:i/>
          <w:caps w:val="false"/>
          <w:smallCaps w:val="false"/>
          <w:strike w:val="false"/>
          <w:dstrike w:val="false"/>
          <w:color w:val="000000"/>
          <w:sz w:val="24"/>
          <w:szCs w:val="24"/>
          <w:u w:val="none"/>
          <w:effect w:val="none"/>
        </w:rPr>
        <w:t>&lt;some references about stock market prediction using machine learning here&gt;</w:t>
      </w:r>
      <w:r>
        <w:rPr>
          <w:rFonts w:cs="Times New Roman" w:ascii="Times New Roman" w:hAnsi="Times New Roman"/>
          <w:b w:val="false"/>
          <w:i w:val="false"/>
          <w:caps w:val="false"/>
          <w:smallCaps w:val="false"/>
          <w:strike w:val="false"/>
          <w:dstrike w:val="false"/>
          <w:color w:val="000000"/>
          <w:sz w:val="24"/>
          <w:szCs w:val="24"/>
          <w:u w:val="none"/>
          <w:effect w:val="none"/>
        </w:rPr>
        <w:t xml:space="preserve">. </w:t>
      </w:r>
    </w:p>
    <w:p>
      <w:pPr>
        <w:pStyle w:val="TextBody"/>
        <w:bidi w:val="0"/>
        <w:spacing w:lineRule="auto" w:line="429" w:before="0" w:after="0"/>
        <w:jc w:val="both"/>
        <w:rPr/>
      </w:pPr>
      <w:r>
        <w:rPr>
          <w:rFonts w:ascii="Times New Roman" w:hAnsi="Times New Roman"/>
          <w:b w:val="false"/>
          <w:i w:val="false"/>
          <w:caps w:val="false"/>
          <w:smallCaps w:val="false"/>
          <w:strike w:val="false"/>
          <w:dstrike w:val="false"/>
          <w:color w:val="000000"/>
          <w:sz w:val="24"/>
          <w:u w:val="none"/>
          <w:effect w:val="none"/>
        </w:rPr>
        <w:t xml:space="preserve">Their current methods not only focus on the machine learning algorithm, but also in the input data preprocessing state. Some researcher likely to use historical stock market data such as open, close, high, low, volume data and adding more variables likes MACD, MA, CCI, ATR BOLL, SMI. Some of researcher convert the historical stock market data into another format. </w:t>
      </w:r>
      <w:r>
        <w:rPr>
          <w:rFonts w:ascii="Times New Roman" w:hAnsi="Times New Roman"/>
          <w:b w:val="false"/>
          <w:i/>
          <w:caps w:val="false"/>
          <w:smallCaps w:val="false"/>
          <w:strike w:val="false"/>
          <w:dstrike w:val="false"/>
          <w:color w:val="000000"/>
          <w:sz w:val="24"/>
          <w:u w:val="none"/>
          <w:effect w:val="none"/>
        </w:rPr>
        <w:t>&lt;some references about stock market prediction using audi raw wave here and similar works that using image as input data&gt;.</w:t>
      </w:r>
      <w:r>
        <w:rPr>
          <w:b w:val="false"/>
          <w:caps w:val="false"/>
          <w:smallCaps w:val="false"/>
          <w:strike w:val="false"/>
          <w:dstrike w:val="false"/>
          <w:color w:val="000000"/>
          <w:u w:val="none"/>
          <w:effect w:val="none"/>
        </w:rPr>
        <w:t xml:space="preserve">  </w:t>
      </w:r>
    </w:p>
    <w:p>
      <w:pPr>
        <w:pStyle w:val="Heading2"/>
        <w:rPr/>
      </w:pPr>
      <w:bookmarkStart w:id="20" w:name="__RefHeading___Toc27328_277794404"/>
      <w:bookmarkStart w:id="21" w:name="_Toc455040183"/>
      <w:bookmarkEnd w:id="20"/>
      <w:r>
        <w:rPr/>
        <w:t xml:space="preserve">1.2. </w:t>
      </w:r>
      <w:bookmarkEnd w:id="21"/>
      <w:r>
        <w:rPr/>
        <w:t>Related Work</w:t>
      </w:r>
    </w:p>
    <w:p>
      <w:pPr>
        <w:pStyle w:val="Normal"/>
        <w:spacing w:lineRule="auto" w:line="360"/>
        <w:ind w:firstLine="720"/>
        <w:rPr/>
      </w:pPr>
      <w:r>
        <w:rPr>
          <w:rFonts w:cs="Times New Roman"/>
          <w:szCs w:val="24"/>
        </w:rPr>
        <w:t>Related work here.</w:t>
      </w:r>
      <w:r>
        <w:rPr>
          <w:rFonts w:cs="Times New Roman"/>
          <w:szCs w:val="24"/>
        </w:rPr>
        <w:t xml:space="preserve"> </w:t>
      </w:r>
      <w:r>
        <w:fldChar w:fldCharType="begin"/>
      </w:r>
      <w:r>
        <w:rPr>
          <w:szCs w:val="24"/>
          <w:rFonts w:cs="Times New Roman"/>
        </w:rPr>
      </w:r>
      <w:r>
        <w:rPr>
          <w:szCs w:val="24"/>
          <w:rFonts w:cs="Times New Roman"/>
        </w:rPr>
        <w:fldChar w:fldCharType="separate"/>
      </w:r>
      <w:bookmarkStart w:id="22" w:name="__Fieldmark__27505_277794404"/>
      <w:r>
        <w:rPr>
          <w:rFonts w:cs="Times New Roman"/>
          <w:szCs w:val="24"/>
        </w:rPr>
      </w:r>
      <w:r>
        <w:rPr>
          <w:rFonts w:cs="Times New Roman"/>
          <w:szCs w:val="24"/>
        </w:rPr>
      </w:r>
      <w:r>
        <w:rPr>
          <w:szCs w:val="24"/>
          <w:rFonts w:cs="Times New Roman"/>
        </w:rPr>
        <w:fldChar w:fldCharType="end"/>
      </w:r>
      <w:bookmarkEnd w:id="22"/>
    </w:p>
    <w:p>
      <w:pPr>
        <w:pStyle w:val="Heading2"/>
        <w:rPr/>
      </w:pPr>
      <w:bookmarkStart w:id="23" w:name="__RefHeading___Toc27330_277794404"/>
      <w:bookmarkStart w:id="24" w:name="_Toc455040184"/>
      <w:bookmarkEnd w:id="23"/>
      <w:r>
        <w:rPr/>
        <w:t xml:space="preserve">1.3. </w:t>
      </w:r>
      <w:bookmarkEnd w:id="24"/>
      <w:r>
        <w:rPr/>
        <w:t>Motivation and Goal</w:t>
      </w:r>
    </w:p>
    <w:p>
      <w:pPr>
        <w:pStyle w:val="Normal"/>
        <w:spacing w:lineRule="auto" w:line="360"/>
        <w:ind w:firstLine="720"/>
        <w:rPr/>
      </w:pPr>
      <w:r>
        <w:rPr>
          <w:rFonts w:cs="Times New Roman"/>
          <w:szCs w:val="24"/>
        </w:rPr>
        <w:t>Motivation and Goal here.</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Heading1"/>
        <w:spacing w:lineRule="auto" w:line="360"/>
        <w:rPr/>
      </w:pPr>
      <w:bookmarkStart w:id="25" w:name="__RefHeading___Toc27346_277794404"/>
      <w:bookmarkEnd w:id="25"/>
      <w:r>
        <w:rPr>
          <w:rFonts w:cs="Times New Roman"/>
          <w:lang w:eastAsia="zh-TW"/>
        </w:rPr>
        <w:t>C</w:t>
      </w:r>
      <w:bookmarkStart w:id="26" w:name="_Toc455040192"/>
      <w:r>
        <w:rPr>
          <w:rFonts w:cs="Times New Roman"/>
          <w:lang w:eastAsia="zh-TW"/>
        </w:rPr>
        <w:t>hapter 2</w:t>
        <w:br/>
      </w:r>
      <w:bookmarkEnd w:id="26"/>
      <w:r>
        <w:rPr>
          <w:rFonts w:cs="Times New Roman"/>
          <w:lang w:eastAsia="zh-TW"/>
        </w:rPr>
        <w:t>Material</w:t>
      </w:r>
    </w:p>
    <w:p>
      <w:pPr>
        <w:pStyle w:val="Normal"/>
        <w:spacing w:lineRule="auto" w:line="360"/>
        <w:rPr>
          <w:rFonts w:cs="Times New Roman"/>
          <w:b/>
          <w:b/>
          <w:szCs w:val="24"/>
        </w:rPr>
      </w:pPr>
      <w:r>
        <w:rPr>
          <w:rFonts w:cs="Times New Roman"/>
          <w:b/>
          <w:szCs w:val="24"/>
        </w:rPr>
      </w:r>
    </w:p>
    <w:p>
      <w:pPr>
        <w:pStyle w:val="Heading2"/>
        <w:rPr/>
      </w:pPr>
      <w:bookmarkStart w:id="27" w:name="__RefHeading___Toc27348_277794404"/>
      <w:bookmarkStart w:id="28" w:name="_Toc455040193"/>
      <w:bookmarkEnd w:id="27"/>
      <w:r>
        <w:rPr/>
        <w:t xml:space="preserve">2.1. </w:t>
      </w:r>
      <w:bookmarkEnd w:id="28"/>
      <w:r>
        <w:rPr/>
        <w:t>Flowchart</w:t>
      </w:r>
    </w:p>
    <w:p>
      <w:pPr>
        <w:pStyle w:val="Normal"/>
        <w:spacing w:lineRule="auto" w:line="360"/>
        <w:ind w:firstLine="720"/>
        <w:rPr/>
      </w:pPr>
      <w:r>
        <w:rPr>
          <w:rFonts w:cs="Times New Roman"/>
          <w:szCs w:val="24"/>
        </w:rPr>
        <w:t>Flowchart here.</w:t>
      </w:r>
    </w:p>
    <w:p>
      <w:pPr>
        <w:pStyle w:val="Heading2"/>
        <w:rPr/>
      </w:pPr>
      <w:bookmarkStart w:id="29" w:name="__RefHeading___Toc27350_277794404"/>
      <w:bookmarkStart w:id="30" w:name="_Toc455040194"/>
      <w:bookmarkEnd w:id="29"/>
      <w:r>
        <w:rPr/>
        <w:t>2.2. Data Collection</w:t>
      </w:r>
      <w:bookmarkEnd w:id="30"/>
    </w:p>
    <w:p>
      <w:pPr>
        <w:pStyle w:val="Normal"/>
        <w:spacing w:lineRule="auto" w:line="360"/>
        <w:ind w:firstLine="720"/>
        <w:rPr/>
      </w:pPr>
      <w:r>
        <w:rPr>
          <w:rFonts w:cs="Times New Roman"/>
          <w:szCs w:val="24"/>
        </w:rPr>
        <w:t>Data collection here.</w:t>
      </w:r>
    </w:p>
    <w:p>
      <w:pPr>
        <w:pStyle w:val="Heading2"/>
        <w:rPr/>
      </w:pPr>
      <w:bookmarkStart w:id="31" w:name="__RefHeading___Toc27352_277794404"/>
      <w:bookmarkStart w:id="32" w:name="__DdeLink__27651_277794404"/>
      <w:bookmarkStart w:id="33" w:name="_Toc455040195"/>
      <w:bookmarkEnd w:id="31"/>
      <w:r>
        <w:rPr/>
        <w:t xml:space="preserve">2.3. </w:t>
      </w:r>
      <w:bookmarkEnd w:id="33"/>
      <w:r>
        <w:rPr/>
        <w:t>Feature Investigation</w:t>
      </w:r>
      <w:bookmarkEnd w:id="32"/>
    </w:p>
    <w:p>
      <w:pPr>
        <w:pStyle w:val="Heading2"/>
        <w:rPr/>
      </w:pPr>
      <w:bookmarkStart w:id="34" w:name="_Toc4550401954"/>
      <w:r>
        <w:rPr/>
        <w:t>2.</w:t>
      </w:r>
      <w:r>
        <w:rPr/>
        <w:t>4</w:t>
      </w:r>
      <w:r>
        <w:rPr/>
        <w:t xml:space="preserve">. </w:t>
      </w:r>
      <w:bookmarkEnd w:id="34"/>
      <w:r>
        <w:rPr/>
        <w:t>Residual Network</w:t>
      </w:r>
    </w:p>
    <w:p>
      <w:pPr>
        <w:pStyle w:val="Normal"/>
        <w:spacing w:lineRule="auto" w:line="360"/>
        <w:rPr/>
      </w:pPr>
      <w:r>
        <w:rPr>
          <w:rFonts w:cs="Times New Roman"/>
          <w:szCs w:val="24"/>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35" w:name="__RefHeading___Toc27354_277794404"/>
      <w:bookmarkStart w:id="36" w:name="_Toc455040196"/>
      <w:bookmarkEnd w:id="35"/>
      <w:r>
        <w:rPr>
          <w:lang w:eastAsia="zh-TW"/>
        </w:rPr>
        <w:t>Chapter 3</w:t>
        <w:br/>
        <w:t>Methodology</w:t>
      </w:r>
      <w:bookmarkEnd w:id="36"/>
    </w:p>
    <w:p>
      <w:pPr>
        <w:pStyle w:val="Normal"/>
        <w:rPr>
          <w:rFonts w:cs="Times New Roman"/>
          <w:color w:val="000000" w:themeColor="text1"/>
          <w:szCs w:val="24"/>
          <w:lang w:eastAsia="zh-TW"/>
        </w:rPr>
      </w:pPr>
      <w:r>
        <w:rPr/>
      </w:r>
    </w:p>
    <w:p>
      <w:pPr>
        <w:pStyle w:val="Heading2"/>
        <w:rPr>
          <w:lang w:eastAsia="zh-TW"/>
        </w:rPr>
      </w:pPr>
      <w:bookmarkStart w:id="37" w:name="__RefHeading___Toc27356_277794404"/>
      <w:bookmarkStart w:id="38" w:name="_Toc455040197"/>
      <w:bookmarkEnd w:id="37"/>
      <w:r>
        <w:rPr>
          <w:lang w:eastAsia="zh-TW"/>
        </w:rPr>
        <w:t>3.1. Amino Acid Index (AAindex)</w:t>
      </w:r>
      <w:bookmarkEnd w:id="38"/>
    </w:p>
    <w:p>
      <w:pPr>
        <w:pStyle w:val="Normal"/>
        <w:spacing w:lineRule="auto" w:line="360"/>
        <w:ind w:firstLine="720"/>
        <w:rPr>
          <w:rFonts w:cs="Times New Roman"/>
          <w:szCs w:val="24"/>
        </w:rPr>
      </w:pPr>
      <w:r>
        <w:rPr>
          <w:rFonts w:cs="Times New Roman"/>
          <w:szCs w:val="24"/>
        </w:rPr>
        <w:t xml:space="preserve">AAindex </w:t>
      </w:r>
      <w:r>
        <w:fldChar w:fldCharType="begin"/>
      </w:r>
      <w:r>
        <w:rPr>
          <w:szCs w:val="24"/>
          <w:rFonts w:cs="Times New Roman"/>
        </w:rPr>
        <w:instrText>ADDIN EN.CITE &lt;EndNote&gt;&lt;Cite&gt;&lt;Author&gt;富井健太郎&lt;/Author&gt;&lt;Year&gt;1995&lt;/Year&gt;&lt;RecNum&gt;83&lt;/RecNum&gt;&lt;DisplayText&gt;[77]&lt;/DisplayText&gt;&lt;record&gt;&lt;rec-number&gt;83&lt;/rec-number&gt;&lt;foreign-keys&gt;&lt;key app="EN" db-id="2warfrwsqwwxzpe00v350s2vvz52tt0pvew0" timestamp="1454493053"&gt;83&lt;/key&gt;&lt;/foreign-keys&gt;&lt;ref-type name="Journal Article"&gt;17&lt;/ref-type&gt;&lt;contributors&gt;&lt;authors&gt;&lt;author&gt;富井健太郎&lt;/author&gt;&lt;author&gt;金久實&lt;/author&gt;&lt;/authors&gt;&lt;/contributors&gt;&lt;titles&gt;&lt;title&gt;AAindex: A Database of Amino Acid Indices and Mutation Matrices&lt;/title&gt;&lt;secondary-title&gt;Genome Informatics&lt;/secondary-title&gt;&lt;/titles&gt;&lt;periodical&gt;&lt;full-title&gt;Genome Informatics&lt;/full-title&gt;&lt;/periodical&gt;&lt;pages&gt;142-143&lt;/pages&gt;&lt;volume&gt;6&lt;/volume&gt;&lt;dates&gt;&lt;year&gt;1995&lt;/year&gt;&lt;/dates&gt;&lt;isbn&gt;0919-9454&lt;/isbn&gt;&lt;urls&gt;&lt;/urls&gt;&lt;/record&gt;&lt;/Cite&gt;&lt;/EndNote&gt;</w:instrText>
      </w:r>
      <w:r>
        <w:rPr>
          <w:szCs w:val="24"/>
          <w:rFonts w:cs="Times New Roman"/>
        </w:rPr>
        <w:fldChar w:fldCharType="separate"/>
      </w:r>
      <w:bookmarkStart w:id="39" w:name="__Fieldmark__19198_277794404"/>
      <w:r>
        <w:rPr>
          <w:rFonts w:cs="Times New Roman"/>
          <w:szCs w:val="24"/>
        </w:rPr>
        <w:t>[77]</w:t>
      </w:r>
      <w:r>
        <w:rPr>
          <w:rFonts w:cs="Times New Roman"/>
          <w:szCs w:val="24"/>
        </w:rPr>
      </w:r>
      <w:r>
        <w:rPr>
          <w:szCs w:val="24"/>
          <w:rFonts w:cs="Times New Roman"/>
        </w:rPr>
        <w:fldChar w:fldCharType="end"/>
      </w:r>
      <w:hyperlink w:anchor="_ENREF_77" w:tgtFrame="富井健太郎, 1995 #83">
        <w:bookmarkEnd w:id="39"/>
        <w:r>
          <w:rPr>
            <w:rFonts w:cs="Times New Roman"/>
            <w:szCs w:val="24"/>
          </w:rPr>
          <w:t xml:space="preserve"> is a database contains 544 amino acid indices with various 20 numerical values as properties of amino acids. The AAindex database can be accessed and utilized through the internet and freely accessible at </w:t>
        </w:r>
      </w:hyperlink>
      <w:hyperlink r:id="rId4">
        <w:r>
          <w:rPr>
            <w:rStyle w:val="InternetLink"/>
            <w:rFonts w:cs="Times New Roman"/>
            <w:szCs w:val="24"/>
          </w:rPr>
          <w:t>http://www.genome.jp/aaindex/</w:t>
        </w:r>
      </w:hyperlink>
      <w:r>
        <w:rPr>
          <w:rFonts w:cs="Times New Roman"/>
          <w:szCs w:val="24"/>
        </w:rPr>
        <w:t>. The main idea of AAindex is about protein sequence alignments and similarity searches based on 20 amino acids. 20 amino acids can be represented with 20 numerical values describe a mutation matrix (similarity matrix) which amino acid in the sequence of protein changes to other amino acid states.</w:t>
      </w:r>
    </w:p>
    <w:p>
      <w:pPr>
        <w:pStyle w:val="Normal"/>
        <w:spacing w:lineRule="auto" w:line="360"/>
        <w:jc w:val="center"/>
        <w:rPr>
          <w:rFonts w:cs="Times New Roman"/>
          <w:szCs w:val="24"/>
        </w:rPr>
      </w:pPr>
      <w:r>
        <w:rPr/>
        <w:drawing>
          <wp:inline distT="0" distB="0" distL="0" distR="9525">
            <wp:extent cx="4219575" cy="228600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5"/>
                    <a:stretch>
                      <a:fillRect/>
                    </a:stretch>
                  </pic:blipFill>
                  <pic:spPr bwMode="auto">
                    <a:xfrm>
                      <a:off x="0" y="0"/>
                      <a:ext cx="4219575" cy="2286000"/>
                    </a:xfrm>
                    <a:prstGeom prst="rect">
                      <a:avLst/>
                    </a:prstGeom>
                  </pic:spPr>
                </pic:pic>
              </a:graphicData>
            </a:graphic>
          </wp:inline>
        </w:drawing>
      </w:r>
    </w:p>
    <w:p>
      <w:pPr>
        <w:pStyle w:val="Caption1"/>
        <w:rPr>
          <w:rFonts w:cs="Times New Roman"/>
          <w:szCs w:val="24"/>
        </w:rPr>
      </w:pPr>
      <w:bookmarkStart w:id="40" w:name="_Toc454940944"/>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w:t>
      </w:r>
      <w:r>
        <w:rPr>
          <w:b/>
          <w:szCs w:val="24"/>
          <w:rFonts w:cs="Times New Roman"/>
        </w:rPr>
        <w:fldChar w:fldCharType="end"/>
      </w:r>
      <w:r>
        <w:rPr>
          <w:rFonts w:cs="Times New Roman"/>
          <w:szCs w:val="24"/>
        </w:rPr>
        <w:t xml:space="preserve"> - AAindex Method</w:t>
      </w:r>
      <w:bookmarkEnd w:id="40"/>
    </w:p>
    <w:p>
      <w:pPr>
        <w:pStyle w:val="Normal"/>
        <w:spacing w:lineRule="auto" w:line="360"/>
        <w:ind w:firstLine="720"/>
        <w:rPr>
          <w:rFonts w:cs="Times New Roman"/>
          <w:szCs w:val="24"/>
        </w:rPr>
      </w:pPr>
      <w:r>
        <w:rPr>
          <w:rFonts w:cs="Times New Roman"/>
          <w:szCs w:val="24"/>
        </w:rPr>
        <w:t>As presented in Figure above, to generate the AAindex method and select 20 topmost ranking of AAindex have five different steps. Firstly, download AAindex database from the website with accession number and AAindex data contain 20 numerical values for each index. Secondly, the amino acid of proteins can be represented numerically with various 20 numerical properties of AAindex. Next, the total number of an amino acid appears in the sequence multiplied by the AAindex data or properties and then summed and divided by the sequence length of proteins. Finally, feature selection by F-score (For more details about F-score, see "</w:t>
      </w:r>
      <w:r>
        <w:rPr>
          <w:rFonts w:cs="Times New Roman"/>
          <w:b/>
          <w:color w:val="000000" w:themeColor="text1"/>
          <w:szCs w:val="24"/>
          <w:lang w:eastAsia="zh-TW"/>
        </w:rPr>
        <w:t>3.2.1.F-Score Feature</w:t>
      </w:r>
      <w:r>
        <w:rPr>
          <w:rFonts w:cs="Times New Roman"/>
          <w:szCs w:val="24"/>
        </w:rPr>
        <w:t xml:space="preserve"> </w:t>
      </w:r>
      <w:r>
        <w:rPr>
          <w:rFonts w:cs="Times New Roman"/>
          <w:b/>
          <w:color w:val="000000" w:themeColor="text1"/>
          <w:szCs w:val="24"/>
          <w:lang w:eastAsia="zh-TW"/>
        </w:rPr>
        <w:t>Selection</w:t>
      </w:r>
      <w:r>
        <w:rPr>
          <w:rFonts w:cs="Times New Roman"/>
          <w:szCs w:val="24"/>
        </w:rPr>
        <w:t xml:space="preserve">") and select 20 topmost F-score as additional feature sets. </w:t>
      </w:r>
    </w:p>
    <w:p>
      <w:pPr>
        <w:pStyle w:val="Heading2"/>
        <w:rPr>
          <w:lang w:eastAsia="zh-TW"/>
        </w:rPr>
      </w:pPr>
      <w:bookmarkStart w:id="41" w:name="__RefHeading___Toc27358_277794404"/>
      <w:bookmarkStart w:id="42" w:name="_Toc455040198"/>
      <w:bookmarkEnd w:id="41"/>
      <w:r>
        <w:rPr>
          <w:lang w:eastAsia="zh-TW"/>
        </w:rPr>
        <w:t>3.2. Feature Selection</w:t>
      </w:r>
      <w:bookmarkEnd w:id="42"/>
    </w:p>
    <w:p>
      <w:pPr>
        <w:pStyle w:val="Normal"/>
        <w:spacing w:lineRule="auto" w:line="360"/>
        <w:ind w:firstLine="720"/>
        <w:rPr>
          <w:rFonts w:cs="Times New Roman"/>
          <w:szCs w:val="24"/>
          <w:lang w:eastAsia="zh-TW"/>
        </w:rPr>
      </w:pPr>
      <w:r>
        <w:rPr>
          <w:rFonts w:cs="Times New Roman"/>
          <w:szCs w:val="24"/>
          <w:lang w:eastAsia="zh-TW"/>
        </w:rPr>
        <w:t xml:space="preserve">Selecting a subset of relevant features to identify which of a set of categories is an important part to reduce redundant data and irrelevant data. We implemented two feature selections (Fisher score and Relief) to evaluate each feature without utilizing any classification algorithm (filter models) </w:t>
      </w:r>
      <w:r>
        <w:fldChar w:fldCharType="begin"/>
      </w:r>
      <w:r>
        <w:rPr>
          <w:szCs w:val="24"/>
          <w:rFonts w:cs="Times New Roman"/>
        </w:rPr>
        <w:instrText>ADDIN EN.CITE &lt;EndNote&gt;&lt;Cite&gt;&lt;Author&gt;Tang&lt;/Author&gt;&lt;Year&gt;2014&lt;/Year&gt;&lt;RecNum&gt;91&lt;/RecNum&gt;&lt;DisplayText&gt;[78]&lt;/DisplayText&gt;&lt;record&gt;&lt;rec-number&gt;91&lt;/rec-number&gt;&lt;foreign-keys&gt;&lt;key app="EN" db-id="2warfrwsqwwxzpe00v350s2vvz52tt0pvew0" timestamp="1466724470"&gt;91&lt;/key&gt;&lt;/foreign-keys&gt;&lt;ref-type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Pr>
          <w:szCs w:val="24"/>
          <w:rFonts w:cs="Times New Roman"/>
        </w:rPr>
        <w:fldChar w:fldCharType="separate"/>
      </w:r>
      <w:bookmarkStart w:id="43" w:name="__Fieldmark__19279_277794404"/>
      <w:r>
        <w:rPr>
          <w:rFonts w:cs="Times New Roman"/>
          <w:szCs w:val="24"/>
          <w:lang w:eastAsia="zh-TW"/>
        </w:rPr>
        <w:t>[78]</w:t>
      </w:r>
      <w:r>
        <w:rPr>
          <w:rFonts w:cs="Times New Roman"/>
          <w:szCs w:val="24"/>
          <w:lang w:eastAsia="zh-TW"/>
        </w:rPr>
      </w:r>
      <w:r>
        <w:rPr>
          <w:szCs w:val="24"/>
          <w:rFonts w:cs="Times New Roman"/>
        </w:rPr>
        <w:fldChar w:fldCharType="end"/>
      </w:r>
      <w:hyperlink w:anchor="_ENREF_78" w:tgtFrame="Tang, 2014 #91">
        <w:bookmarkEnd w:id="43"/>
        <w:r>
          <w:rPr>
            <w:rFonts w:cs="Times New Roman"/>
            <w:szCs w:val="24"/>
            <w:lang w:eastAsia="zh-TW"/>
          </w:rPr>
          <w:t>.</w:t>
        </w:r>
      </w:hyperlink>
    </w:p>
    <w:p>
      <w:pPr>
        <w:pStyle w:val="Heading3"/>
        <w:rPr>
          <w:lang w:eastAsia="zh-TW"/>
        </w:rPr>
      </w:pPr>
      <w:bookmarkStart w:id="44" w:name="__RefHeading___Toc27360_277794404"/>
      <w:bookmarkStart w:id="45" w:name="_Toc455040199"/>
      <w:bookmarkEnd w:id="44"/>
      <w:r>
        <w:rPr>
          <w:lang w:eastAsia="zh-TW"/>
        </w:rPr>
        <w:t>3.2.1. Fisher Score Algorithm</w:t>
      </w:r>
      <w:bookmarkEnd w:id="45"/>
    </w:p>
    <w:p>
      <w:pPr>
        <w:pStyle w:val="Normal"/>
        <w:spacing w:lineRule="auto" w:line="360"/>
        <w:ind w:firstLine="720"/>
        <w:rPr>
          <w:rFonts w:cs="Times New Roman"/>
          <w:color w:val="000000" w:themeColor="text1"/>
          <w:szCs w:val="24"/>
          <w:lang w:eastAsia="zh-TW"/>
        </w:rPr>
      </w:pPr>
      <w:r>
        <w:rPr>
          <w:rFonts w:cs="Times New Roman"/>
          <w:color w:val="000000" w:themeColor="text1"/>
          <w:szCs w:val="24"/>
          <w:lang w:eastAsia="zh-TW"/>
        </w:rPr>
        <w:t>Fisher score (F-score) is a method to evaluate and measure the discrimination of two sets of real numbers consists of positive and negative datasets. Based on the distribution of the data sets, F-score values are determined by standard deviation and average of the data. The standard deviation and average are measurement of diversity or variety. A low standard deviation shows that the data points are very close to the data central or "mean", while a high standard deviation shows that the data has a high level of diversity and the data points tend to be far to the data central or "mean".</w:t>
      </w:r>
    </w:p>
    <w:p>
      <w:pPr>
        <w:pStyle w:val="Normal"/>
        <w:spacing w:lineRule="auto" w:line="360"/>
        <w:jc w:val="center"/>
        <w:rPr>
          <w:rFonts w:cs="Times New Roman"/>
          <w:color w:val="000000" w:themeColor="text1"/>
          <w:szCs w:val="24"/>
          <w:lang w:eastAsia="zh-TW"/>
        </w:rPr>
      </w:pPr>
      <w:r>
        <w:rPr/>
        <w:drawing>
          <wp:inline distT="0" distB="0" distL="0" distR="3175">
            <wp:extent cx="3293110" cy="1895475"/>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6"/>
                    <a:stretch>
                      <a:fillRect/>
                    </a:stretch>
                  </pic:blipFill>
                  <pic:spPr bwMode="auto">
                    <a:xfrm>
                      <a:off x="0" y="0"/>
                      <a:ext cx="3293110" cy="1895475"/>
                    </a:xfrm>
                    <a:prstGeom prst="rect">
                      <a:avLst/>
                    </a:prstGeom>
                  </pic:spPr>
                </pic:pic>
              </a:graphicData>
            </a:graphic>
          </wp:inline>
        </w:drawing>
      </w:r>
    </w:p>
    <w:p>
      <w:pPr>
        <w:pStyle w:val="Caption1"/>
        <w:rPr>
          <w:rFonts w:cs="Times New Roman"/>
          <w:szCs w:val="24"/>
          <w:lang w:eastAsia="zh-TW"/>
        </w:rPr>
      </w:pPr>
      <w:bookmarkStart w:id="46" w:name="_Toc454940945"/>
      <w:r>
        <w:rPr>
          <w:rFonts w:cs="Times New Roman"/>
          <w:b/>
          <w:szCs w:val="24"/>
          <w:lang w:eastAsia="zh-TW"/>
        </w:rPr>
        <w:t xml:space="preserve">Figure </w:t>
      </w:r>
      <w:r>
        <w:rPr>
          <w:rFonts w:cs="Times New Roman"/>
          <w:b/>
          <w:szCs w:val="24"/>
          <w:lang w:eastAsia="zh-TW"/>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2</w:t>
      </w:r>
      <w:r>
        <w:rPr>
          <w:b/>
          <w:szCs w:val="24"/>
          <w:rFonts w:cs="Times New Roman"/>
        </w:rPr>
        <w:fldChar w:fldCharType="end"/>
      </w:r>
      <w:r>
        <w:rPr>
          <w:rFonts w:cs="Times New Roman"/>
          <w:szCs w:val="24"/>
          <w:lang w:eastAsia="zh-TW"/>
        </w:rPr>
        <w:t xml:space="preserve"> - Standard Deviation</w:t>
      </w:r>
      <w:bookmarkEnd w:id="46"/>
    </w:p>
    <w:p>
      <w:pPr>
        <w:pStyle w:val="Normal"/>
        <w:spacing w:lineRule="auto" w:line="360"/>
        <w:ind w:firstLine="720"/>
        <w:rPr>
          <w:rFonts w:cs="Times New Roman"/>
          <w:bCs/>
          <w:color w:val="252525"/>
          <w:szCs w:val="24"/>
          <w:highlight w:val="white"/>
        </w:rPr>
      </w:pPr>
      <w:r>
        <w:rPr>
          <w:rFonts w:cs="Times New Roman"/>
          <w:szCs w:val="24"/>
          <w:lang w:eastAsia="zh-TW"/>
        </w:rPr>
        <w:t xml:space="preserve">Where, symbol </w:t>
      </w:r>
      <w:r>
        <w:rPr>
          <w:rStyle w:val="Strong"/>
          <w:rFonts w:cs="Times New Roman"/>
          <w:b w:val="false"/>
          <w:color w:val="252525"/>
          <w:szCs w:val="24"/>
          <w:shd w:fill="FFFFFF" w:val="clear"/>
        </w:rPr>
        <w:t xml:space="preserve">σ (sigma) is used in mathematics and statistics field and the symbol for standard deviation. Figure 11 shows that the comparison value of standard deviation from low standard deviation to high standard deviation and their graphic visualizations. </w:t>
      </w:r>
      <w:r>
        <w:rPr>
          <w:rFonts w:cs="Times New Roman"/>
          <w:color w:val="000000" w:themeColor="text1"/>
          <w:szCs w:val="24"/>
          <w:lang w:eastAsia="zh-TW"/>
        </w:rPr>
        <w:t xml:space="preserve">F-score is used as the </w:t>
      </w:r>
      <w:r>
        <w:rPr>
          <w:rFonts w:cs="Times New Roman"/>
          <w:i/>
          <w:color w:val="000000" w:themeColor="text1"/>
          <w:szCs w:val="24"/>
          <w:lang w:eastAsia="zh-TW"/>
        </w:rPr>
        <w:t>i</w:t>
      </w:r>
      <w:r>
        <w:rPr>
          <w:rFonts w:cs="Times New Roman"/>
          <w:color w:val="000000" w:themeColor="text1"/>
          <w:szCs w:val="24"/>
          <w:lang w:eastAsia="zh-TW"/>
        </w:rPr>
        <w:t>th feature of AAindex is defined below:</w:t>
      </w:r>
    </w:p>
    <w:p>
      <w:pPr>
        <w:pStyle w:val="Normal"/>
        <w:spacing w:lineRule="auto" w:line="360"/>
        <w:jc w:val="center"/>
        <w:rPr>
          <w:rFonts w:cs="Times New Roman"/>
          <w:szCs w:val="24"/>
        </w:rPr>
      </w:pPr>
      <w:r>
        <w:rPr/>
        <w:drawing>
          <wp:inline distT="0" distB="0" distL="0" distR="0">
            <wp:extent cx="2695575" cy="768350"/>
            <wp:effectExtent l="0" t="0" r="0" b="0"/>
            <wp:docPr id="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descr=""/>
                    <pic:cNvPicPr>
                      <a:picLocks noChangeAspect="1" noChangeArrowheads="1"/>
                    </pic:cNvPicPr>
                  </pic:nvPicPr>
                  <pic:blipFill>
                    <a:blip r:embed="rId7"/>
                    <a:stretch>
                      <a:fillRect/>
                    </a:stretch>
                  </pic:blipFill>
                  <pic:spPr bwMode="auto">
                    <a:xfrm>
                      <a:off x="0" y="0"/>
                      <a:ext cx="2695575" cy="768350"/>
                    </a:xfrm>
                    <a:prstGeom prst="rect">
                      <a:avLst/>
                    </a:prstGeom>
                  </pic:spPr>
                </pic:pic>
              </a:graphicData>
            </a:graphic>
          </wp:inline>
        </w:drawing>
      </w:r>
    </w:p>
    <w:p>
      <w:pPr>
        <w:pStyle w:val="Normal"/>
        <w:spacing w:lineRule="auto" w:line="360"/>
        <w:ind w:firstLine="720"/>
        <w:rPr>
          <w:rFonts w:cs="Times New Roman"/>
          <w:szCs w:val="24"/>
          <w:lang w:eastAsia="zh-TW"/>
        </w:rPr>
      </w:pPr>
      <w:r>
        <w:rPr>
          <w:rFonts w:cs="Times New Roman"/>
          <w:szCs w:val="24"/>
        </w:rPr>
        <w:t xml:space="preserve">Based on the F-score formula above, where </w:t>
      </w:r>
      <w:r>
        <w:rPr>
          <w:rFonts w:cs="Times New Roman"/>
          <w:i/>
          <w:szCs w:val="24"/>
        </w:rPr>
        <w:t>n</w:t>
      </w:r>
      <w:r>
        <w:rPr>
          <w:rFonts w:cs="Times New Roman"/>
          <w:i/>
          <w:szCs w:val="24"/>
          <w:vertAlign w:val="superscript"/>
        </w:rPr>
        <w:t>+</w:t>
      </w:r>
      <w:r>
        <w:rPr>
          <w:rFonts w:cs="Times New Roman"/>
          <w:szCs w:val="24"/>
        </w:rPr>
        <w:t xml:space="preserve"> is the number of positive instance, </w:t>
      </w:r>
      <w:r>
        <w:rPr>
          <w:rFonts w:cs="Times New Roman"/>
          <w:i/>
          <w:szCs w:val="24"/>
        </w:rPr>
        <w:t>n</w:t>
      </w:r>
      <w:r>
        <w:rPr>
          <w:rFonts w:cs="Times New Roman"/>
          <w:szCs w:val="24"/>
          <w:vertAlign w:val="superscript"/>
        </w:rPr>
        <w:t>-</w:t>
      </w:r>
      <w:r>
        <w:rPr>
          <w:rFonts w:cs="Times New Roman"/>
          <w:szCs w:val="24"/>
        </w:rPr>
        <w:t xml:space="preserve"> is the number of negative instance, </w:t>
      </w:r>
      <w:r>
        <w:rPr>
          <w:rFonts w:cs="Times New Roman"/>
          <w:i/>
          <w:szCs w:val="24"/>
        </w:rPr>
        <w:t>i</w:t>
      </w:r>
      <w:r>
        <w:rPr>
          <w:rFonts w:cs="Times New Roman"/>
          <w:szCs w:val="24"/>
        </w:rPr>
        <w:t xml:space="preserve"> is each feature of the dataset and </w:t>
      </w:r>
      <w:r>
        <w:rPr>
          <w:rFonts w:cs="Times New Roman"/>
          <w:i/>
          <w:szCs w:val="24"/>
        </w:rPr>
        <w:t>k</w:t>
      </w:r>
      <w:r>
        <w:rPr>
          <w:rFonts w:cs="Times New Roman"/>
          <w:szCs w:val="24"/>
        </w:rPr>
        <w:t xml:space="preserve"> is instance of the </w:t>
      </w:r>
      <w:r>
        <w:rPr>
          <w:rFonts w:cs="Times New Roman"/>
          <w:i/>
          <w:szCs w:val="24"/>
        </w:rPr>
        <w:t>i</w:t>
      </w:r>
      <w:r>
        <w:rPr>
          <w:rFonts w:cs="Times New Roman"/>
          <w:szCs w:val="24"/>
        </w:rPr>
        <w:t xml:space="preserve">th feature. </w:t>
      </w:r>
      <w:r>
        <w:rPr>
          <w:rFonts w:cs="Times New Roman"/>
          <w:szCs w:val="24"/>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i</m:t>
            </m:r>
          </m:sub>
        </m:sSub>
      </m:oMath>
      <w:r>
        <w:rPr>
          <w:rFonts w:eastAsia="DFKai-SB" w:cs="Times New Roman" w:ascii="DFKai-SB" w:hAnsi="DFKai-SB"/>
          <w:kern w:val="2"/>
          <w:lang w:eastAsia="zh-TW"/>
        </w:rPr>
        <w:t xml:space="preserve"> </w:t>
      </w:r>
      <w:r>
        <w:rPr>
          <w:rFonts w:cs="Times New Roman"/>
          <w:szCs w:val="24"/>
        </w:rPr>
        <w:t xml:space="preserve">is the average of the </w:t>
      </w:r>
      <w:r>
        <w:rPr>
          <w:rFonts w:cs="Times New Roman"/>
          <w:i/>
          <w:szCs w:val="24"/>
        </w:rPr>
        <w:t>i</w:t>
      </w:r>
      <w:r>
        <w:rPr>
          <w:rFonts w:cs="Times New Roman"/>
          <w:szCs w:val="24"/>
        </w:rPr>
        <w:t>th feature of dataset, with</w:t>
      </w:r>
      <w:r>
        <w:rPr>
          <w:rFonts w:cs="Times New Roman"/>
          <w:szCs w:val="24"/>
        </w:rPr>
      </w:r>
      <m:oMath xmlns:m="http://schemas.openxmlformats.org/officeDocument/2006/math">
        <m:sSubSup>
          <m:e>
            <m:acc>
              <m:accPr>
                <m:chr m:val="¯"/>
              </m:accPr>
              <m:e>
                <m:r>
                  <w:rPr>
                    <w:rFonts w:ascii="Cambria Math" w:hAnsi="Cambria Math"/>
                  </w:rPr>
                  <m:t xml:space="preserve">X</m:t>
                </m:r>
              </m:e>
            </m:acc>
          </m:e>
          <m:sub>
            <m:r>
              <w:rPr>
                <w:rFonts w:ascii="Cambria Math" w:hAnsi="Cambria Math"/>
              </w:rPr>
              <m:t xml:space="preserve">i</m:t>
            </m:r>
          </m:sub>
          <m:sup>
            <m:r>
              <w:rPr>
                <w:rFonts w:ascii="Cambria Math" w:hAnsi="Cambria Math"/>
              </w:rPr>
              <m:t xml:space="preserve">(</m:t>
            </m:r>
            <m:r>
              <w:rPr>
                <w:rFonts w:ascii="Cambria Math" w:hAnsi="Cambria Math"/>
              </w:rPr>
              <m:t xml:space="preserve">+</m:t>
            </m:r>
            <m:r>
              <w:rPr>
                <w:rFonts w:ascii="Cambria Math" w:hAnsi="Cambria Math"/>
              </w:rPr>
              <m:t xml:space="preserve">)</m:t>
            </m:r>
          </m:sup>
        </m:sSubSup>
      </m:oMath>
      <w:r>
        <w:rPr>
          <w:rFonts w:eastAsia="DFKai-SB" w:cs="Times New Roman"/>
          <w:kern w:val="2"/>
          <w:lang w:eastAsia="zh-TW"/>
        </w:rPr>
        <w:t xml:space="preserve">is the average of the </w:t>
      </w:r>
      <w:r>
        <w:rPr>
          <w:rFonts w:eastAsia="DFKai-SB" w:cs="Times New Roman"/>
          <w:i/>
          <w:kern w:val="2"/>
          <w:lang w:eastAsia="zh-TW"/>
        </w:rPr>
        <w:t>i</w:t>
      </w:r>
      <w:r>
        <w:rPr>
          <w:rFonts w:eastAsia="DFKai-SB" w:cs="Times New Roman"/>
          <w:kern w:val="2"/>
          <w:lang w:eastAsia="zh-TW"/>
        </w:rPr>
        <w:t xml:space="preserve">th feature of positive datasets, </w:t>
      </w:r>
      <w:r>
        <w:rPr>
          <w:rFonts w:eastAsia="DFKai-SB" w:cs="Times New Roman"/>
          <w:kern w:val="2"/>
          <w:lang w:eastAsia="zh-TW"/>
        </w:rPr>
      </w:r>
      <m:oMath xmlns:m="http://schemas.openxmlformats.org/officeDocument/2006/math">
        <m:sSubSup>
          <m:e>
            <m:acc>
              <m:accPr>
                <m:chr m:val="¯"/>
              </m:accPr>
              <m:e>
                <m:r>
                  <w:rPr>
                    <w:rFonts w:ascii="Cambria Math" w:hAnsi="Cambria Math"/>
                  </w:rPr>
                  <m:t xml:space="preserve">X</m:t>
                </m:r>
              </m:e>
            </m:acc>
          </m:e>
          <m:sub>
            <m:r>
              <w:rPr>
                <w:rFonts w:ascii="Cambria Math" w:hAnsi="Cambria Math"/>
              </w:rPr>
              <m:t xml:space="preserve">i</m:t>
            </m:r>
          </m:sub>
          <m:sup>
            <m:r>
              <w:rPr>
                <w:rFonts w:ascii="Cambria Math" w:hAnsi="Cambria Math"/>
              </w:rPr>
              <m:t xml:space="preserve">(</m:t>
            </m:r>
            <m:r>
              <w:rPr>
                <w:rFonts w:ascii="Cambria Math" w:hAnsi="Cambria Math"/>
              </w:rPr>
              <m:t xml:space="preserve">−</m:t>
            </m:r>
            <m:r>
              <w:rPr>
                <w:rFonts w:ascii="Cambria Math" w:hAnsi="Cambria Math"/>
              </w:rPr>
              <m:t xml:space="preserve">)</m:t>
            </m:r>
          </m:sup>
        </m:sSubSup>
      </m:oMath>
      <w:r>
        <w:rPr>
          <w:rFonts w:eastAsia="DFKai-SB" w:cs="Times New Roman"/>
          <w:kern w:val="2"/>
          <w:lang w:eastAsia="zh-TW"/>
        </w:rPr>
        <w:t xml:space="preserve"> is the average of the </w:t>
      </w:r>
      <w:r>
        <w:rPr>
          <w:rFonts w:eastAsia="DFKai-SB" w:cs="Times New Roman"/>
          <w:i/>
          <w:kern w:val="2"/>
          <w:lang w:eastAsia="zh-TW"/>
        </w:rPr>
        <w:t>i</w:t>
      </w:r>
      <w:r>
        <w:rPr>
          <w:rFonts w:eastAsia="DFKai-SB" w:cs="Times New Roman"/>
          <w:kern w:val="2"/>
          <w:lang w:eastAsia="zh-TW"/>
        </w:rPr>
        <w:t xml:space="preserve">th feature of negative datasets, </w:t>
      </w:r>
      <w:r>
        <w:rPr>
          <w:rFonts w:eastAsia="DFKai-SB" w:cs="Times New Roman"/>
          <w:kern w:val="2"/>
          <w:lang w:eastAsia="zh-TW"/>
        </w:rPr>
      </w:r>
      <m:oMath xmlns:m="http://schemas.openxmlformats.org/officeDocument/2006/math">
        <m:sSubSup>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m:t>
            </m:r>
            <m:r>
              <w:rPr>
                <w:rFonts w:ascii="Cambria Math" w:hAnsi="Cambria Math"/>
              </w:rPr>
              <m:t xml:space="preserve">+</m:t>
            </m:r>
            <m:r>
              <w:rPr>
                <w:rFonts w:ascii="Cambria Math" w:hAnsi="Cambria Math"/>
              </w:rPr>
              <m:t xml:space="preserve">)</m:t>
            </m:r>
          </m:sup>
        </m:sSubSup>
      </m:oMath>
      <w:r>
        <w:rPr>
          <w:rFonts w:eastAsia="DFKai-SB" w:cs="Times New Roman"/>
          <w:kern w:val="2"/>
          <w:lang w:eastAsia="zh-TW"/>
        </w:rPr>
        <w:t xml:space="preserve">is the </w:t>
      </w:r>
      <w:r>
        <w:rPr>
          <w:rFonts w:eastAsia="DFKai-SB" w:cs="Times New Roman"/>
          <w:i/>
          <w:kern w:val="2"/>
          <w:lang w:eastAsia="zh-TW"/>
        </w:rPr>
        <w:t>i</w:t>
      </w:r>
      <w:r>
        <w:rPr>
          <w:rFonts w:eastAsia="DFKai-SB" w:cs="Times New Roman"/>
          <w:kern w:val="2"/>
          <w:lang w:eastAsia="zh-TW"/>
        </w:rPr>
        <w:t xml:space="preserve">th feature of the </w:t>
      </w:r>
      <w:r>
        <w:rPr>
          <w:rFonts w:eastAsia="DFKai-SB" w:cs="Times New Roman"/>
          <w:i/>
          <w:kern w:val="2"/>
          <w:lang w:eastAsia="zh-TW"/>
        </w:rPr>
        <w:t>k</w:t>
      </w:r>
      <w:r>
        <w:rPr>
          <w:rFonts w:eastAsia="DFKai-SB" w:cs="Times New Roman"/>
          <w:kern w:val="2"/>
          <w:lang w:eastAsia="zh-TW"/>
        </w:rPr>
        <w:t xml:space="preserve">th positive instance of feature and </w:t>
      </w:r>
      <w:r>
        <w:rPr>
          <w:rFonts w:eastAsia="DFKai-SB" w:cs="Times New Roman"/>
          <w:kern w:val="2"/>
          <w:lang w:eastAsia="zh-TW"/>
        </w:rPr>
      </w:r>
      <m:oMath xmlns:m="http://schemas.openxmlformats.org/officeDocument/2006/math">
        <m:sSubSup>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m:t>
            </m:r>
            <m:r>
              <w:rPr>
                <w:rFonts w:ascii="Cambria Math" w:hAnsi="Cambria Math"/>
              </w:rPr>
              <m:t xml:space="preserve">−</m:t>
            </m:r>
            <m:r>
              <w:rPr>
                <w:rFonts w:ascii="Cambria Math" w:hAnsi="Cambria Math"/>
              </w:rPr>
              <m:t xml:space="preserve">)</m:t>
            </m:r>
          </m:sup>
        </m:sSubSup>
      </m:oMath>
      <w:r>
        <w:rPr>
          <w:rFonts w:eastAsia="DFKai-SB" w:cs="Times New Roman"/>
          <w:kern w:val="2"/>
          <w:lang w:eastAsia="zh-TW"/>
        </w:rPr>
        <w:t xml:space="preserve"> is the </w:t>
      </w:r>
      <w:r>
        <w:rPr>
          <w:rFonts w:eastAsia="DFKai-SB" w:cs="Times New Roman"/>
          <w:i/>
          <w:kern w:val="2"/>
          <w:lang w:eastAsia="zh-TW"/>
        </w:rPr>
        <w:t>i</w:t>
      </w:r>
      <w:r>
        <w:rPr>
          <w:rFonts w:eastAsia="DFKai-SB" w:cs="Times New Roman"/>
          <w:kern w:val="2"/>
          <w:lang w:eastAsia="zh-TW"/>
        </w:rPr>
        <w:t xml:space="preserve">th feature of the </w:t>
      </w:r>
      <w:r>
        <w:rPr>
          <w:rFonts w:eastAsia="DFKai-SB" w:cs="Times New Roman"/>
          <w:i/>
          <w:kern w:val="2"/>
          <w:lang w:eastAsia="zh-TW"/>
        </w:rPr>
        <w:t>k</w:t>
      </w:r>
      <w:r>
        <w:rPr>
          <w:rFonts w:eastAsia="DFKai-SB" w:cs="Times New Roman"/>
          <w:kern w:val="2"/>
          <w:lang w:eastAsia="zh-TW"/>
        </w:rPr>
        <w:t>th negative instance of feature</w:t>
      </w:r>
      <w:r>
        <w:rPr>
          <w:rFonts w:eastAsia="DFKai-SB" w:cs="Times New Roman" w:ascii="DFKai-SB" w:hAnsi="DFKai-SB"/>
          <w:kern w:val="2"/>
          <w:lang w:eastAsia="zh-TW"/>
        </w:rPr>
        <w:t>.</w:t>
      </w:r>
    </w:p>
    <w:p>
      <w:pPr>
        <w:pStyle w:val="Normal"/>
        <w:spacing w:lineRule="auto" w:line="360"/>
        <w:jc w:val="center"/>
        <w:rPr>
          <w:rFonts w:cs="Times New Roman"/>
          <w:color w:val="000000" w:themeColor="text1"/>
          <w:szCs w:val="24"/>
          <w:lang w:eastAsia="zh-TW"/>
        </w:rPr>
      </w:pPr>
      <w:r>
        <w:rPr/>
        <w:drawing>
          <wp:inline distT="0" distB="0" distL="0" distR="3810">
            <wp:extent cx="2644140" cy="3009900"/>
            <wp:effectExtent l="0" t="0" r="0" b="0"/>
            <wp:docPr id="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 descr=""/>
                    <pic:cNvPicPr>
                      <a:picLocks noChangeAspect="1" noChangeArrowheads="1"/>
                    </pic:cNvPicPr>
                  </pic:nvPicPr>
                  <pic:blipFill>
                    <a:blip r:embed="rId8"/>
                    <a:stretch>
                      <a:fillRect/>
                    </a:stretch>
                  </pic:blipFill>
                  <pic:spPr bwMode="auto">
                    <a:xfrm>
                      <a:off x="0" y="0"/>
                      <a:ext cx="2644140" cy="3009900"/>
                    </a:xfrm>
                    <a:prstGeom prst="rect">
                      <a:avLst/>
                    </a:prstGeom>
                  </pic:spPr>
                </pic:pic>
              </a:graphicData>
            </a:graphic>
          </wp:inline>
        </w:drawing>
      </w:r>
    </w:p>
    <w:p>
      <w:pPr>
        <w:pStyle w:val="Caption1"/>
        <w:rPr>
          <w:rFonts w:cs="Times New Roman"/>
          <w:szCs w:val="24"/>
          <w:lang w:eastAsia="zh-TW"/>
        </w:rPr>
      </w:pPr>
      <w:bookmarkStart w:id="47" w:name="_Toc454940946"/>
      <w:r>
        <w:rPr>
          <w:rFonts w:cs="Times New Roman"/>
          <w:b/>
          <w:szCs w:val="24"/>
          <w:lang w:eastAsia="zh-TW"/>
        </w:rPr>
        <w:t xml:space="preserve">Figure </w:t>
      </w:r>
      <w:r>
        <w:rPr>
          <w:rFonts w:cs="Times New Roman"/>
          <w:b/>
          <w:szCs w:val="24"/>
          <w:lang w:eastAsia="zh-TW"/>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3</w:t>
      </w:r>
      <w:r>
        <w:rPr>
          <w:b/>
          <w:szCs w:val="24"/>
          <w:rFonts w:cs="Times New Roman"/>
        </w:rPr>
        <w:fldChar w:fldCharType="end"/>
      </w:r>
      <w:r>
        <w:rPr>
          <w:rFonts w:cs="Times New Roman"/>
          <w:szCs w:val="24"/>
          <w:lang w:eastAsia="zh-TW"/>
        </w:rPr>
        <w:t xml:space="preserve"> - Distance between data points in different classes</w:t>
      </w:r>
      <w:bookmarkEnd w:id="47"/>
    </w:p>
    <w:p>
      <w:pPr>
        <w:pStyle w:val="Normal"/>
        <w:spacing w:lineRule="auto" w:line="360"/>
        <w:ind w:firstLine="720"/>
        <w:rPr>
          <w:rFonts w:cs="Times New Roman"/>
          <w:szCs w:val="24"/>
        </w:rPr>
      </w:pPr>
      <w:r>
        <w:rPr>
          <w:rFonts w:cs="Times New Roman"/>
          <w:szCs w:val="24"/>
        </w:rPr>
        <w:t xml:space="preserve">Figure 12 shows the visualization of two classes with different standard deviation and average. F-score feature selected where the distance between the data points in different classes (negative and positive datasets) showed the largest possible distance while, the distance between the data points in the same class with the "mean" of class shows distances as small as possible. Selection feature focus on the raking of </w:t>
      </w:r>
      <w:r>
        <w:rPr>
          <w:rFonts w:cs="Times New Roman"/>
          <w:i/>
          <w:szCs w:val="24"/>
        </w:rPr>
        <w:t>i</w:t>
      </w:r>
      <w:r>
        <w:rPr>
          <w:rFonts w:cs="Times New Roman"/>
          <w:szCs w:val="24"/>
        </w:rPr>
        <w:t xml:space="preserve">th features. The selections of the F-score features with high values (topmost F-score) have an important role to improve the performance of the classification process. In this study, 20 topmost F-score of the AAindex are used in the classification process as an additional feature set on PSSM feature sets. The performance of PSSM feature sets and additional feature sets will be evaluated using fivefold cross validation. </w:t>
      </w:r>
    </w:p>
    <w:p>
      <w:pPr>
        <w:pStyle w:val="Heading3"/>
        <w:rPr>
          <w:lang w:eastAsia="zh-TW"/>
        </w:rPr>
      </w:pPr>
      <w:bookmarkStart w:id="48" w:name="__RefHeading___Toc27362_277794404"/>
      <w:bookmarkStart w:id="49" w:name="_Toc455040200"/>
      <w:bookmarkEnd w:id="48"/>
      <w:r>
        <w:rPr>
          <w:lang w:eastAsia="zh-TW"/>
        </w:rPr>
        <w:t>3.2.2. Relief Algorithm</w:t>
      </w:r>
      <w:bookmarkEnd w:id="49"/>
    </w:p>
    <w:p>
      <w:pPr>
        <w:pStyle w:val="Normal"/>
        <w:spacing w:lineRule="auto" w:line="360"/>
        <w:rPr>
          <w:rFonts w:cs="Times New Roman"/>
          <w:szCs w:val="24"/>
        </w:rPr>
      </w:pPr>
      <w:r>
        <w:rPr>
          <w:rFonts w:cs="Times New Roman"/>
          <w:szCs w:val="24"/>
        </w:rPr>
        <w:t xml:space="preserve"> </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Heading2"/>
        <w:rPr>
          <w:lang w:eastAsia="zh-TW"/>
        </w:rPr>
      </w:pPr>
      <w:bookmarkStart w:id="50" w:name="__RefHeading___Toc27364_277794404"/>
      <w:bookmarkStart w:id="51" w:name="_Toc455040201"/>
      <w:bookmarkEnd w:id="50"/>
      <w:r>
        <w:rPr>
          <w:lang w:eastAsia="zh-TW"/>
        </w:rPr>
        <w:t>3.3. Machine Learning</w:t>
      </w:r>
      <w:bookmarkEnd w:id="51"/>
    </w:p>
    <w:p>
      <w:pPr>
        <w:pStyle w:val="Normal"/>
        <w:spacing w:lineRule="auto" w:line="360"/>
        <w:ind w:firstLine="720"/>
        <w:rPr>
          <w:rFonts w:cs="Times New Roman"/>
          <w:szCs w:val="24"/>
          <w:lang w:eastAsia="zh-TW"/>
        </w:rPr>
      </w:pPr>
      <w:r>
        <w:rPr>
          <w:rFonts w:cs="Times New Roman"/>
          <w:szCs w:val="24"/>
          <w:lang w:eastAsia="zh-TW"/>
        </w:rPr>
        <w:t xml:space="preserve">Machine learning is a technique of computational learning theory and pattern recognition with a deep concept of artificial intelligence and used for handling data classifications in this case about learning structure from data. Machine learning has a purpose in pursuing complex algorithms that enable computers have the ability to learn based on the training process (model). The ability or the experience of computers provides intelligence to make decisions. These methods include </w:t>
      </w:r>
      <w:r>
        <w:rPr>
          <w:rFonts w:cs="Times New Roman"/>
          <w:bCs/>
          <w:color w:val="000000" w:themeColor="text1"/>
          <w:szCs w:val="24"/>
          <w:lang w:eastAsia="zh-TW"/>
        </w:rPr>
        <w:t xml:space="preserve">Radial Basis Function Networks </w:t>
      </w:r>
      <w:r>
        <w:fldChar w:fldCharType="begin"/>
      </w:r>
      <w:r>
        <w:rPr>
          <w:szCs w:val="24"/>
          <w:bCs/>
          <w:rFonts w:cs="Times New Roman"/>
        </w:rPr>
        <w:instrText>ADDIN EN.CITE &lt;EndNote&gt;&lt;Cite&gt;&lt;Author&gt;Ou&lt;/Author&gt;&lt;Year&gt;2005&lt;/Year&gt;&lt;RecNum&gt;84&lt;/RecNum&gt;&lt;DisplayText&gt;[79]&lt;/DisplayText&gt;&lt;record&gt;&lt;rec-number&gt;84&lt;/rec-number&gt;&lt;foreign-keys&gt;&lt;key app="EN" db-id="2warfrwsqwwxzpe00v350s2vvz52tt0pvew0" timestamp="1454521239"&gt;84&lt;/key&gt;&lt;/foreign-keys&gt;&lt;ref-type name="Journal Article"&gt;17&lt;/ref-type&gt;&lt;contributors&gt;&lt;authors&gt;&lt;author&gt;Ou, YY&lt;/author&gt;&lt;/authors&gt;&lt;/contributors&gt;&lt;titles&gt;&lt;title&gt;QuickRBF: a package for efficient radial basis function networks&lt;/title&gt;&lt;secondary-title&gt;Software available at https://www.csie.ntu.edu.tw/~yien/quickrbf/&lt;/secondary-title&gt;&lt;/titles&gt;&lt;periodical&gt;&lt;full-title&gt;Software available at https://www.csie.ntu.edu.tw/~yien/quickrbf/&lt;/full-title&gt;&lt;/periodical&gt;&lt;dates&gt;&lt;year&gt;2005&lt;/year&gt;&lt;/dates&gt;&lt;urls&gt;&lt;/urls&gt;&lt;/record&gt;&lt;/Cite&gt;&lt;/EndNote&gt;</w:instrText>
      </w:r>
      <w:r>
        <w:rPr>
          <w:szCs w:val="24"/>
          <w:bCs/>
          <w:rFonts w:cs="Times New Roman"/>
        </w:rPr>
        <w:fldChar w:fldCharType="separate"/>
      </w:r>
      <w:bookmarkStart w:id="52" w:name="__Fieldmark__19451_277794404"/>
      <w:r>
        <w:rPr>
          <w:rFonts w:cs="Times New Roman"/>
          <w:bCs/>
          <w:color w:val="000000" w:themeColor="text1"/>
          <w:szCs w:val="24"/>
          <w:lang w:eastAsia="zh-TW"/>
        </w:rPr>
        <w:t>[79]</w:t>
      </w:r>
      <w:r>
        <w:rPr>
          <w:rFonts w:cs="Times New Roman"/>
          <w:bCs/>
          <w:color w:val="000000" w:themeColor="text1"/>
          <w:szCs w:val="24"/>
          <w:lang w:eastAsia="zh-TW"/>
        </w:rPr>
      </w:r>
      <w:r>
        <w:rPr>
          <w:szCs w:val="24"/>
          <w:bCs/>
          <w:rFonts w:cs="Times New Roman"/>
        </w:rPr>
        <w:fldChar w:fldCharType="end"/>
      </w:r>
      <w:hyperlink w:anchor="_ENREF_79" w:tgtFrame="Ou, 2005 #84">
        <w:bookmarkEnd w:id="52"/>
        <w:r>
          <w:rPr>
            <w:rFonts w:cs="Times New Roman"/>
            <w:bCs/>
            <w:color w:val="000000" w:themeColor="text1"/>
            <w:szCs w:val="24"/>
            <w:lang w:eastAsia="zh-TW"/>
          </w:rPr>
          <w:t xml:space="preserve">, Support Vector Machine </w:t>
        </w:r>
      </w:hyperlink>
      <w:r>
        <w:fldChar w:fldCharType="begin"/>
      </w:r>
      <w:r>
        <w:rPr>
          <w:szCs w:val="24"/>
          <w:bCs/>
          <w:rFonts w:cs="Times New Roman"/>
        </w:rPr>
        <w:instrText>ADDIN EN.CITE &lt;EndNote&gt;&lt;Cite&gt;&lt;Author&gt;Chang&lt;/Author&gt;&lt;Year&gt;2011&lt;/Year&gt;&lt;RecNum&gt;90&lt;/RecNum&gt;&lt;DisplayText&gt;[80]&lt;/DisplayText&gt;&lt;record&gt;&lt;rec-number&gt;90&lt;/rec-number&gt;&lt;foreign-keys&gt;&lt;key app="EN" db-id="2warfrwsqwwxzpe00v350s2vvz52tt0pvew0" timestamp="1455927543"&gt;90&lt;/key&gt;&lt;/foreign-keys&gt;&lt;ref-type name="Journal Article"&gt;17&lt;/ref-type&gt;&lt;contributors&gt;&lt;authors&gt;&lt;author&gt;Chang, Chih-Chung&lt;/author&gt;&lt;author&gt;Lin, Chih-Jen&lt;/author&gt;&lt;/authors&gt;&lt;/contributors&gt;&lt;titles&gt;&lt;title&gt;LIBSVM: a library for support vector machines&lt;/title&gt;&lt;secondary-title&gt;ACM Transactions on Intelligent Systems and Technology (TIST)&lt;/secondary-title&gt;&lt;/titles&gt;&lt;periodical&gt;&lt;full-title&gt;ACM Transactions on Intelligent Systems and Technology (TIST)&lt;/full-title&gt;&lt;/periodical&gt;&lt;pages&gt;27&lt;/pages&gt;&lt;volume&gt;2&lt;/volume&gt;&lt;number&gt;3&lt;/number&gt;&lt;dates&gt;&lt;year&gt;2011&lt;/year&gt;&lt;/dates&gt;&lt;isbn&gt;2157-6904&lt;/isbn&gt;&lt;urls&gt;&lt;/urls&gt;&lt;/record&gt;&lt;/Cite&gt;&lt;/EndNote&gt;</w:instrText>
      </w:r>
      <w:r>
        <w:rPr>
          <w:szCs w:val="24"/>
          <w:bCs/>
          <w:rFonts w:cs="Times New Roman"/>
        </w:rPr>
        <w:fldChar w:fldCharType="separate"/>
      </w:r>
      <w:bookmarkStart w:id="53" w:name="__Fieldmark__19462_277794404"/>
      <w:r>
        <w:rPr>
          <w:rFonts w:cs="Times New Roman"/>
          <w:bCs/>
          <w:color w:val="000000" w:themeColor="text1"/>
          <w:szCs w:val="24"/>
          <w:lang w:eastAsia="zh-TW"/>
        </w:rPr>
        <w:t>[80]</w:t>
      </w:r>
      <w:r>
        <w:rPr>
          <w:rFonts w:cs="Times New Roman"/>
          <w:bCs/>
          <w:color w:val="000000" w:themeColor="text1"/>
          <w:szCs w:val="24"/>
          <w:lang w:eastAsia="zh-TW"/>
        </w:rPr>
      </w:r>
      <w:r>
        <w:rPr>
          <w:szCs w:val="24"/>
          <w:bCs/>
          <w:rFonts w:cs="Times New Roman"/>
        </w:rPr>
        <w:fldChar w:fldCharType="end"/>
      </w:r>
      <w:hyperlink w:anchor="_ENREF_80" w:tgtFrame="Chang, 2011 #90">
        <w:bookmarkEnd w:id="53"/>
        <w:r>
          <w:rPr>
            <w:rFonts w:cs="Times New Roman"/>
            <w:bCs/>
            <w:color w:val="000000" w:themeColor="text1"/>
            <w:szCs w:val="24"/>
            <w:lang w:eastAsia="zh-TW"/>
          </w:rPr>
          <w:t xml:space="preserve">, Random Forest, Naïve Bayes and K-Nearest Neighbors (KNN) </w:t>
        </w:r>
      </w:hyperlink>
      <w:r>
        <w:rPr>
          <w:rFonts w:cs="Times New Roman"/>
          <w:szCs w:val="24"/>
          <w:lang w:eastAsia="zh-TW"/>
        </w:rPr>
        <w:t xml:space="preserve">are used as the classifiers. </w:t>
      </w:r>
      <w:r>
        <w:rPr>
          <w:rFonts w:cs="Times New Roman"/>
          <w:bCs/>
          <w:color w:val="000000" w:themeColor="text1"/>
          <w:szCs w:val="24"/>
          <w:lang w:eastAsia="zh-TW"/>
        </w:rPr>
        <w:t xml:space="preserve">Random forest classifier, Naïve Bayes and KNN algorithm are available in WEKA packages </w:t>
      </w:r>
      <w:r>
        <w:fldChar w:fldCharType="begin"/>
      </w:r>
      <w:r>
        <w:rPr>
          <w:szCs w:val="24"/>
          <w:bCs/>
          <w:rFonts w:cs="Times New Roman"/>
        </w:rPr>
        <w:instrText>ADDIN EN.CITE &lt;EndNote&gt;&lt;Cite&gt;&lt;Author&gt;Holmes&lt;/Author&gt;&lt;Year&gt;1994&lt;/Year&gt;&lt;RecNum&gt;89&lt;/RecNum&gt;&lt;DisplayText&gt;[81]&lt;/DisplayText&gt;&lt;record&gt;&lt;rec-number&gt;89&lt;/rec-number&gt;&lt;foreign-keys&gt;&lt;key app="EN" db-id="2warfrwsqwwxzpe00v350s2vvz52tt0pvew0" timestamp="1455927403"&gt;89&lt;/key&gt;&lt;/foreign-keys&gt;&lt;ref-type name="Conference Proceedings"&gt;10&lt;/ref-type&gt;&lt;contributors&gt;&lt;authors&gt;&lt;author&gt;Holmes, Geoffrey&lt;/author&gt;&lt;author&gt;Donkin, Andrew&lt;/author&gt;&lt;author&gt;Witten, Ian H&lt;/author&gt;&lt;/authors&gt;&lt;/contributors&gt;&lt;titles&gt;&lt;title&gt;Weka: A machine learning workbench&lt;/title&gt;&lt;secondary-title&gt;Intelligent Information Systems, 1994. Proceedings of the 1994 Second Australian and New Zealand Conference on&lt;/secondary-title&gt;&lt;/titles&gt;&lt;pages&gt;357-361&lt;/pages&gt;&lt;dates&gt;&lt;year&gt;1994&lt;/year&gt;&lt;/dates&gt;&lt;publisher&gt;IEEE&lt;/publisher&gt;&lt;isbn&gt;0780324048&lt;/isbn&gt;&lt;urls&gt;&lt;/urls&gt;&lt;/record&gt;&lt;/Cite&gt;&lt;/EndNote&gt;</w:instrText>
      </w:r>
      <w:r>
        <w:rPr>
          <w:szCs w:val="24"/>
          <w:bCs/>
          <w:rFonts w:cs="Times New Roman"/>
        </w:rPr>
        <w:fldChar w:fldCharType="separate"/>
      </w:r>
      <w:bookmarkStart w:id="54" w:name="__Fieldmark__19481_277794404"/>
      <w:r>
        <w:rPr>
          <w:rFonts w:cs="Times New Roman"/>
          <w:bCs/>
          <w:color w:val="000000" w:themeColor="text1"/>
          <w:szCs w:val="24"/>
          <w:lang w:eastAsia="zh-TW"/>
        </w:rPr>
        <w:t>[81]</w:t>
      </w:r>
      <w:r>
        <w:rPr>
          <w:rFonts w:cs="Times New Roman"/>
          <w:bCs/>
          <w:color w:val="000000" w:themeColor="text1"/>
          <w:szCs w:val="24"/>
          <w:lang w:eastAsia="zh-TW"/>
        </w:rPr>
      </w:r>
      <w:r>
        <w:rPr>
          <w:szCs w:val="24"/>
          <w:bCs/>
          <w:rFonts w:cs="Times New Roman"/>
        </w:rPr>
        <w:fldChar w:fldCharType="end"/>
      </w:r>
      <w:hyperlink w:anchor="_ENREF_81" w:tgtFrame="Holmes, 1994 #89">
        <w:bookmarkEnd w:id="54"/>
        <w:r>
          <w:rPr>
            <w:rFonts w:cs="Times New Roman"/>
            <w:bCs/>
            <w:color w:val="000000" w:themeColor="text1"/>
            <w:szCs w:val="24"/>
            <w:lang w:eastAsia="zh-TW"/>
          </w:rPr>
          <w:t xml:space="preserve">. </w:t>
        </w:r>
      </w:hyperlink>
      <w:r>
        <w:rPr>
          <w:rFonts w:cs="Times New Roman"/>
          <w:szCs w:val="24"/>
          <w:lang w:eastAsia="zh-TW"/>
        </w:rPr>
        <w:t xml:space="preserve"> </w:t>
      </w:r>
    </w:p>
    <w:p>
      <w:pPr>
        <w:pStyle w:val="Heading3"/>
        <w:rPr>
          <w:lang w:eastAsia="zh-TW"/>
        </w:rPr>
      </w:pPr>
      <w:bookmarkStart w:id="55" w:name="__RefHeading___Toc27366_277794404"/>
      <w:bookmarkStart w:id="56" w:name="_Toc455040202"/>
      <w:bookmarkEnd w:id="55"/>
      <w:r>
        <w:rPr>
          <w:lang w:eastAsia="zh-TW"/>
        </w:rPr>
        <w:t>3.3.1. Radial Basis Function Networks</w:t>
      </w:r>
      <w:bookmarkEnd w:id="56"/>
    </w:p>
    <w:p>
      <w:pPr>
        <w:pStyle w:val="Normal"/>
        <w:spacing w:lineRule="auto" w:line="360"/>
        <w:ind w:firstLine="720"/>
        <w:rPr>
          <w:rFonts w:ascii="alianza_slab_400400" w:hAnsi="alianza_slab_400400"/>
          <w:color w:val="333333"/>
          <w:sz w:val="27"/>
          <w:szCs w:val="27"/>
          <w:highlight w:val="white"/>
        </w:rPr>
      </w:pPr>
      <w:r>
        <w:rPr>
          <w:rFonts w:cs="Times New Roman"/>
          <w:szCs w:val="24"/>
          <w:lang w:eastAsia="zh-TW"/>
        </w:rPr>
        <w:t xml:space="preserve">Radial Basis Function Networks (RBFN) consists of three layers. RBFN has </w:t>
      </w:r>
      <w:r>
        <w:rPr>
          <w:rFonts w:ascii="alianza_slab_400400" w:hAnsi="alianza_slab_400400"/>
          <w:color w:val="333333"/>
          <w:sz w:val="27"/>
          <w:szCs w:val="27"/>
          <w:shd w:fill="FFFFFF" w:val="clear"/>
        </w:rPr>
        <w:t xml:space="preserve">an input layer, a hidden layer and an output layer </w:t>
      </w:r>
      <w:r>
        <w:fldChar w:fldCharType="begin"/>
      </w:r>
      <w:r>
        <w:rPr>
          <w:sz w:val="27"/>
          <w:shd w:fill="FFFFFF" w:val="clear"/>
          <w:szCs w:val="27"/>
          <w:rFonts w:ascii="alianza_slab_400400" w:hAnsi="alianza_slab_400400"/>
        </w:rPr>
        <w:instrText>ADDIN EN.CITE &lt;EndNote&gt;&lt;Cite&gt;&lt;Author&gt;Du&lt;/Author&gt;&lt;Year&gt;2014&lt;/Year&gt;&lt;RecNum&gt;85&lt;/RecNum&gt;&lt;DisplayText&gt;[82]&lt;/DisplayText&gt;&lt;record&gt;&lt;rec-number&gt;85&lt;/rec-number&gt;&lt;foreign-keys&gt;&lt;key app="EN" db-id="2warfrwsqwwxzpe00v350s2vvz52tt0pvew0" timestamp="1454578409"&gt;85&lt;/key&gt;&lt;/foreign-keys&gt;&lt;ref-type name="Book Section"&gt;5&lt;/ref-type&gt;&lt;contributors&gt;&lt;authors&gt;&lt;author&gt;Du, Ke-Lin&lt;/author&gt;&lt;author&gt;Swamy, MNS&lt;/author&gt;&lt;/authors&gt;&lt;/contributors&gt;&lt;titles&gt;&lt;title&gt;Radial basis function networks&lt;/title&gt;&lt;secondary-title&gt;Neural Networks and Statistical Learning&lt;/secondary-title&gt;&lt;/titles&gt;&lt;pages&gt;299-335&lt;/pages&gt;&lt;dates&gt;&lt;year&gt;2014&lt;/year&gt;&lt;/dates&gt;&lt;publisher&gt;Springer&lt;/publisher&gt;&lt;isbn&gt;144715570X&lt;/isbn&gt;&lt;urls&gt;&lt;/urls&gt;&lt;/record&gt;&lt;/Cite&gt;&lt;/EndNote&gt;</w:instrText>
      </w:r>
      <w:r>
        <w:rPr>
          <w:sz w:val="27"/>
          <w:shd w:fill="FFFFFF" w:val="clear"/>
          <w:szCs w:val="27"/>
          <w:rFonts w:ascii="alianza_slab_400400" w:hAnsi="alianza_slab_400400"/>
        </w:rPr>
        <w:fldChar w:fldCharType="separate"/>
      </w:r>
      <w:bookmarkStart w:id="57" w:name="__Fieldmark__19503_277794404"/>
      <w:r>
        <w:rPr>
          <w:rFonts w:ascii="alianza_slab_400400" w:hAnsi="alianza_slab_400400"/>
          <w:color w:val="333333"/>
          <w:sz w:val="27"/>
          <w:szCs w:val="27"/>
          <w:shd w:fill="FFFFFF" w:val="clear"/>
        </w:rPr>
        <w:t>[82]</w:t>
      </w:r>
      <w:r>
        <w:rPr>
          <w:rFonts w:ascii="alianza_slab_400400" w:hAnsi="alianza_slab_400400"/>
          <w:color w:val="333333"/>
          <w:sz w:val="27"/>
          <w:szCs w:val="27"/>
          <w:shd w:fill="FFFFFF" w:val="clear"/>
        </w:rPr>
      </w:r>
      <w:r>
        <w:rPr>
          <w:sz w:val="27"/>
          <w:shd w:fill="FFFFFF" w:val="clear"/>
          <w:szCs w:val="27"/>
          <w:rFonts w:ascii="alianza_slab_400400" w:hAnsi="alianza_slab_400400"/>
        </w:rPr>
        <w:fldChar w:fldCharType="end"/>
      </w:r>
      <w:hyperlink w:anchor="_ENREF_82" w:tgtFrame="Du, 2014 #85">
        <w:bookmarkEnd w:id="57"/>
        <w:r>
          <w:rPr>
            <w:rFonts w:ascii="alianza_slab_400400" w:hAnsi="alianza_slab_400400"/>
            <w:color w:val="333333"/>
            <w:sz w:val="27"/>
            <w:szCs w:val="27"/>
            <w:shd w:fill="FFFFFF" w:val="clear"/>
          </w:rPr>
          <w:t>. As the Figure 13 shows below, the general architecture of RBFN:</w:t>
        </w:r>
      </w:hyperlink>
    </w:p>
    <w:p>
      <w:pPr>
        <w:pStyle w:val="Normal"/>
        <w:spacing w:lineRule="auto" w:line="360" w:before="0" w:after="0"/>
        <w:jc w:val="center"/>
        <w:rPr>
          <w:rFonts w:cs="Times New Roman"/>
          <w:color w:val="000000" w:themeColor="text1"/>
          <w:szCs w:val="24"/>
          <w:lang w:eastAsia="zh-TW"/>
        </w:rPr>
      </w:pPr>
      <w:r>
        <w:rPr/>
        <w:drawing>
          <wp:inline distT="0" distB="8890" distL="0" distR="0">
            <wp:extent cx="3361690" cy="2296795"/>
            <wp:effectExtent l="0" t="0" r="0" b="0"/>
            <wp:docPr id="6" name="Picture 1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Figure"/>
                    <pic:cNvPicPr>
                      <a:picLocks noChangeAspect="1" noChangeArrowheads="1"/>
                    </pic:cNvPicPr>
                  </pic:nvPicPr>
                  <pic:blipFill>
                    <a:blip r:embed="rId9"/>
                    <a:stretch>
                      <a:fillRect/>
                    </a:stretch>
                  </pic:blipFill>
                  <pic:spPr bwMode="auto">
                    <a:xfrm>
                      <a:off x="0" y="0"/>
                      <a:ext cx="3361690" cy="2296795"/>
                    </a:xfrm>
                    <a:prstGeom prst="rect">
                      <a:avLst/>
                    </a:prstGeom>
                  </pic:spPr>
                </pic:pic>
              </a:graphicData>
            </a:graphic>
          </wp:inline>
        </w:drawing>
      </w:r>
    </w:p>
    <w:p>
      <w:pPr>
        <w:pStyle w:val="Caption1"/>
        <w:spacing w:lineRule="auto" w:line="480" w:before="0" w:after="0"/>
        <w:rPr>
          <w:rFonts w:cs="Times New Roman"/>
          <w:szCs w:val="24"/>
        </w:rPr>
      </w:pPr>
      <w:bookmarkStart w:id="58" w:name="_Toc454940947"/>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4</w:t>
      </w:r>
      <w:r>
        <w:rPr>
          <w:b/>
          <w:szCs w:val="24"/>
          <w:rFonts w:cs="Times New Roman"/>
        </w:rPr>
        <w:fldChar w:fldCharType="end"/>
      </w:r>
      <w:r>
        <w:rPr>
          <w:rFonts w:cs="Times New Roman"/>
          <w:szCs w:val="24"/>
        </w:rPr>
        <w:t xml:space="preserve"> - Architecture of Radial Basis Function Networks</w:t>
      </w:r>
      <w:bookmarkEnd w:id="58"/>
    </w:p>
    <w:p>
      <w:pPr>
        <w:pStyle w:val="Normal"/>
        <w:spacing w:lineRule="auto" w:line="360"/>
        <w:rPr>
          <w:rFonts w:cs="Times New Roman"/>
          <w:szCs w:val="24"/>
        </w:rPr>
      </w:pPr>
      <w:r>
        <w:rPr>
          <w:rFonts w:cs="Times New Roman"/>
          <w:color w:val="000000" w:themeColor="text1"/>
          <w:szCs w:val="24"/>
          <w:lang w:eastAsia="zh-TW"/>
        </w:rPr>
        <w:tab/>
        <w:t>The input layer or input vector can be represented as n-dimensional vector in the datasets for classification.  Each coordinate of input layer or entire input layer is shown to each of the nodes in the hidden layer.</w:t>
      </w:r>
      <w:r>
        <w:rPr>
          <w:rFonts w:cs="Times New Roman"/>
          <w:szCs w:val="24"/>
        </w:rPr>
        <w:t xml:space="preserve"> The process occurs in the Hidden layer that stores the value of the input layer and then measure the similarity of each input layer. Production of hidden layer is called the "activation" value. From the hidden layer, each node of output layer computes a collection of activation value from hidden layer based on linear combination and output layer must computes based on the associated category from the hidden layer. </w:t>
      </w:r>
    </w:p>
    <w:p>
      <w:pPr>
        <w:pStyle w:val="Normal"/>
        <w:spacing w:lineRule="auto" w:line="360" w:before="0" w:after="0"/>
        <w:jc w:val="center"/>
        <w:rPr>
          <w:rFonts w:cs="Times New Roman"/>
          <w:b/>
          <w:b/>
          <w:color w:val="000000" w:themeColor="text1"/>
          <w:szCs w:val="24"/>
          <w:lang w:eastAsia="zh-TW"/>
        </w:rPr>
      </w:pPr>
      <w:r>
        <w:rPr/>
        <w:drawing>
          <wp:inline distT="0" distB="0" distL="0" distR="5715">
            <wp:extent cx="4109085" cy="24244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0"/>
                    <a:stretch>
                      <a:fillRect/>
                    </a:stretch>
                  </pic:blipFill>
                  <pic:spPr bwMode="auto">
                    <a:xfrm>
                      <a:off x="0" y="0"/>
                      <a:ext cx="4109085" cy="2424430"/>
                    </a:xfrm>
                    <a:prstGeom prst="rect">
                      <a:avLst/>
                    </a:prstGeom>
                  </pic:spPr>
                </pic:pic>
              </a:graphicData>
            </a:graphic>
          </wp:inline>
        </w:drawing>
      </w:r>
    </w:p>
    <w:p>
      <w:pPr>
        <w:pStyle w:val="Caption1"/>
        <w:spacing w:lineRule="auto" w:line="360" w:before="0" w:after="0"/>
        <w:rPr>
          <w:rFonts w:cs="Times New Roman"/>
          <w:szCs w:val="24"/>
          <w:lang w:eastAsia="zh-TW"/>
        </w:rPr>
      </w:pPr>
      <w:bookmarkStart w:id="59" w:name="_Toc454940948"/>
      <w:r>
        <w:rPr>
          <w:rFonts w:cs="Times New Roman"/>
          <w:b/>
          <w:szCs w:val="24"/>
          <w:lang w:eastAsia="zh-TW"/>
        </w:rPr>
        <w:t xml:space="preserve">Figure </w:t>
      </w:r>
      <w:r>
        <w:rPr>
          <w:rFonts w:cs="Times New Roman"/>
          <w:b/>
          <w:szCs w:val="24"/>
          <w:lang w:eastAsia="zh-TW"/>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5</w:t>
      </w:r>
      <w:r>
        <w:rPr>
          <w:b/>
          <w:szCs w:val="24"/>
          <w:rFonts w:cs="Times New Roman"/>
        </w:rPr>
        <w:fldChar w:fldCharType="end"/>
      </w:r>
      <w:r>
        <w:rPr>
          <w:rFonts w:cs="Times New Roman"/>
          <w:b/>
          <w:szCs w:val="24"/>
          <w:lang w:eastAsia="zh-TW"/>
        </w:rPr>
        <w:t xml:space="preserve"> - </w:t>
      </w:r>
      <w:r>
        <w:rPr>
          <w:rFonts w:cs="Times New Roman"/>
          <w:szCs w:val="24"/>
          <w:lang w:eastAsia="zh-TW"/>
        </w:rPr>
        <w:t>Graphical User Interface (GUI) of QuickRBF Classifier</w:t>
      </w:r>
      <w:bookmarkEnd w:id="59"/>
    </w:p>
    <w:p>
      <w:pPr>
        <w:pStyle w:val="Normal"/>
        <w:spacing w:lineRule="auto" w:line="360"/>
        <w:ind w:firstLine="720"/>
        <w:rPr>
          <w:lang w:eastAsia="zh-TW"/>
        </w:rPr>
      </w:pPr>
      <w:r>
        <w:rPr>
          <w:rFonts w:cs="Times New Roman"/>
          <w:szCs w:val="24"/>
        </w:rPr>
        <w:t xml:space="preserve">This study applied QuickRBF package </w:t>
      </w:r>
      <w:r>
        <w:fldChar w:fldCharType="begin"/>
      </w:r>
      <w:r>
        <w:rPr>
          <w:szCs w:val="24"/>
          <w:rFonts w:cs="Times New Roman"/>
        </w:rPr>
        <w:instrText>ADDIN EN.CITE &lt;EndNote&gt;&lt;Cite&gt;&lt;Author&gt;Ou&lt;/Author&gt;&lt;Year&gt;2005&lt;/Year&gt;&lt;RecNum&gt;84&lt;/RecNum&gt;&lt;DisplayText&gt;[79]&lt;/DisplayText&gt;&lt;record&gt;&lt;rec-number&gt;84&lt;/rec-number&gt;&lt;foreign-keys&gt;&lt;key app="EN" db-id="2warfrwsqwwxzpe00v350s2vvz52tt0pvew0" timestamp="1454521239"&gt;84&lt;/key&gt;&lt;/foreign-keys&gt;&lt;ref-type name="Journal Article"&gt;17&lt;/ref-type&gt;&lt;contributors&gt;&lt;authors&gt;&lt;author&gt;Ou, YY&lt;/author&gt;&lt;/authors&gt;&lt;/contributors&gt;&lt;titles&gt;&lt;title&gt;QuickRBF: a package for efficient radial basis function networks&lt;/title&gt;&lt;secondary-title&gt;Software available at https://www.csie.ntu.edu.tw/~yien/quickrbf/&lt;/secondary-title&gt;&lt;/titles&gt;&lt;periodical&gt;&lt;full-title&gt;Software available at https://www.csie.ntu.edu.tw/~yien/quickrbf/&lt;/full-title&gt;&lt;/periodical&gt;&lt;dates&gt;&lt;year&gt;2005&lt;/year&gt;&lt;/dates&gt;&lt;urls&gt;&lt;/urls&gt;&lt;/record&gt;&lt;/Cite&gt;&lt;/EndNote&gt;</w:instrText>
      </w:r>
      <w:r>
        <w:rPr>
          <w:szCs w:val="24"/>
          <w:rFonts w:cs="Times New Roman"/>
        </w:rPr>
        <w:fldChar w:fldCharType="separate"/>
      </w:r>
      <w:bookmarkStart w:id="60" w:name="__Fieldmark__19562_277794404"/>
      <w:r>
        <w:rPr>
          <w:rFonts w:cs="Times New Roman"/>
          <w:szCs w:val="24"/>
        </w:rPr>
        <w:t>[79]</w:t>
      </w:r>
      <w:r>
        <w:rPr>
          <w:rFonts w:cs="Times New Roman"/>
          <w:szCs w:val="24"/>
        </w:rPr>
      </w:r>
      <w:r>
        <w:rPr>
          <w:szCs w:val="24"/>
          <w:rFonts w:cs="Times New Roman"/>
        </w:rPr>
        <w:fldChar w:fldCharType="end"/>
      </w:r>
      <w:hyperlink w:anchor="_ENREF_79" w:tgtFrame="Ou, 2005 #84">
        <w:bookmarkEnd w:id="60"/>
        <w:r>
          <w:rPr>
            <w:rFonts w:cs="Times New Roman"/>
            <w:szCs w:val="24"/>
          </w:rPr>
          <w:t xml:space="preserve"> as RBFN classifiers </w:t>
        </w:r>
      </w:hyperlink>
      <w:r>
        <w:fldChar w:fldCharType="begin"/>
      </w:r>
      <w:r>
        <w:rPr>
          <w:szCs w:val="24"/>
          <w:rFonts w:cs="Times New Roman"/>
        </w:rPr>
        <w:instrText>ADDIN EN.CITE &lt;EndNote&gt;&lt;Cite&gt;&lt;Author&gt;Ou&lt;/Author&gt;&lt;Year&gt;2005&lt;/Year&gt;&lt;RecNum&gt;86&lt;/RecNum&gt;&lt;DisplayText&gt;[83]&lt;/DisplayText&gt;&lt;record&gt;&lt;rec-number&gt;86&lt;/rec-number&gt;&lt;foreign-keys&gt;&lt;key app="EN" db-id="2warfrwsqwwxzpe00v350s2vvz52tt0pvew0" timestamp="1454584662"&gt;86&lt;/key&gt;&lt;/foreign-keys&gt;&lt;ref-type name="Conference Proceedings"&gt;10&lt;/ref-type&gt;&lt;contributors&gt;&lt;authors&gt;&lt;author&gt;Ou, Yu-Yen&lt;/author&gt;&lt;author&gt;Oyang, Yen-Jen&lt;/author&gt;&lt;author&gt;Chen, Chien-Yu&lt;/author&gt;&lt;/authors&gt;&lt;/contributors&gt;&lt;titles&gt;&lt;title&gt;A novel radial basis function network classifier with centers set by hierarchical clustering&lt;/title&gt;&lt;secondary-title&gt;Neural Networks, 2005. IJCNN&amp;apos;05. Proceedings. 2005 IEEE International Joint Conference on&lt;/secondary-title&gt;&lt;/titles&gt;&lt;pages&gt;1383-1388&lt;/pages&gt;&lt;volume&gt;3&lt;/volume&gt;&lt;dates&gt;&lt;year&gt;2005&lt;/year&gt;&lt;/dates&gt;&lt;publisher&gt;IEEE&lt;/publisher&gt;&lt;isbn&gt;0780390482&lt;/isbn&gt;&lt;urls&gt;&lt;/urls&gt;&lt;/record&gt;&lt;/Cite&gt;&lt;/EndNote&gt;</w:instrText>
      </w:r>
      <w:r>
        <w:rPr>
          <w:szCs w:val="24"/>
          <w:rFonts w:cs="Times New Roman"/>
        </w:rPr>
        <w:fldChar w:fldCharType="separate"/>
      </w:r>
      <w:bookmarkStart w:id="61" w:name="__Fieldmark__19573_277794404"/>
      <w:r>
        <w:rPr>
          <w:rFonts w:cs="Times New Roman"/>
          <w:szCs w:val="24"/>
        </w:rPr>
        <w:t>[83]</w:t>
      </w:r>
      <w:r>
        <w:rPr>
          <w:rFonts w:cs="Times New Roman"/>
          <w:szCs w:val="24"/>
        </w:rPr>
      </w:r>
      <w:r>
        <w:rPr>
          <w:szCs w:val="24"/>
          <w:rFonts w:cs="Times New Roman"/>
        </w:rPr>
        <w:fldChar w:fldCharType="end"/>
      </w:r>
      <w:hyperlink w:anchor="_ENREF_83" w:tgtFrame="Ou, 2005 #86">
        <w:bookmarkEnd w:id="61"/>
        <w:r>
          <w:rPr>
            <w:rFonts w:cs="Times New Roman"/>
            <w:szCs w:val="24"/>
          </w:rPr>
          <w:t xml:space="preserve"> to classify the class of efflux protein families. This process used an efficient least mean square error method to measure of estimator quality (like a filter to compare the difference between the desired and the actual result) and the Cholesky decomposition (Matrix and vector operations) for efficient factorization during matrix operations. Figure 14 shows the implementation of QuickRBF package with GUI. During the experimental process, we used this application and some functions to perform the prediction and get some results. </w:t>
        </w:r>
      </w:hyperlink>
    </w:p>
    <w:p>
      <w:pPr>
        <w:pStyle w:val="Heading3"/>
        <w:spacing w:lineRule="auto" w:line="360"/>
        <w:rPr>
          <w:lang w:eastAsia="zh-TW"/>
        </w:rPr>
      </w:pPr>
      <w:bookmarkStart w:id="62" w:name="__RefHeading___Toc27368_277794404"/>
      <w:bookmarkStart w:id="63" w:name="_Toc455040203"/>
      <w:bookmarkEnd w:id="62"/>
      <w:r>
        <w:rPr>
          <w:lang w:eastAsia="zh-TW"/>
        </w:rPr>
        <w:t>3.3.2. Support Vector Machine (SVM)</w:t>
      </w:r>
      <w:bookmarkEnd w:id="63"/>
    </w:p>
    <w:p>
      <w:pPr>
        <w:pStyle w:val="Normal"/>
        <w:spacing w:lineRule="auto" w:line="360"/>
        <w:ind w:firstLine="720"/>
        <w:rPr>
          <w:rFonts w:cs="Times New Roman"/>
          <w:szCs w:val="24"/>
          <w:lang w:eastAsia="zh-TW"/>
        </w:rPr>
      </w:pPr>
      <w:r>
        <w:rPr>
          <w:rFonts w:cs="Times New Roman"/>
          <w:szCs w:val="24"/>
          <w:lang w:eastAsia="zh-TW"/>
        </w:rPr>
        <w:t xml:space="preserve">SVM applied statistical learning theory to analysis data used for classification and regression and SVM tools is one of the machine learning tools free accessible at </w:t>
      </w:r>
      <w:hyperlink r:id="rId11">
        <w:r>
          <w:rPr>
            <w:rStyle w:val="InternetLink"/>
            <w:rFonts w:cs="Times New Roman"/>
            <w:szCs w:val="24"/>
            <w:lang w:eastAsia="zh-TW"/>
          </w:rPr>
          <w:t>http://www.csie.ntu.edu.tw/~cjlin/libsvm/</w:t>
        </w:r>
      </w:hyperlink>
      <w:r>
        <w:rPr>
          <w:rFonts w:cs="Times New Roman"/>
          <w:szCs w:val="24"/>
          <w:lang w:eastAsia="zh-TW"/>
        </w:rPr>
        <w:t xml:space="preserve">. SVM adopted both of learning approach including supervised learning approach (data are labeled) and unsupervised learning approach (data are not labeled) but for the classification and regression, SVM used supervised learning models as their learning technique by utilizing the data in this case must have class/label. </w:t>
      </w:r>
    </w:p>
    <w:p>
      <w:pPr>
        <w:pStyle w:val="Normal"/>
        <w:spacing w:lineRule="auto" w:line="360"/>
        <w:jc w:val="center"/>
        <w:rPr>
          <w:rFonts w:cs="Times New Roman"/>
          <w:szCs w:val="24"/>
          <w:lang w:eastAsia="zh-TW"/>
        </w:rPr>
      </w:pPr>
      <w:r>
        <w:rPr/>
        <w:drawing>
          <wp:inline distT="0" distB="0" distL="0" distR="0">
            <wp:extent cx="5167630" cy="162306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12"/>
                    <a:stretch>
                      <a:fillRect/>
                    </a:stretch>
                  </pic:blipFill>
                  <pic:spPr bwMode="auto">
                    <a:xfrm>
                      <a:off x="0" y="0"/>
                      <a:ext cx="5167630" cy="1623060"/>
                    </a:xfrm>
                    <a:prstGeom prst="rect">
                      <a:avLst/>
                    </a:prstGeom>
                  </pic:spPr>
                </pic:pic>
              </a:graphicData>
            </a:graphic>
          </wp:inline>
        </w:drawing>
      </w:r>
    </w:p>
    <w:p>
      <w:pPr>
        <w:pStyle w:val="Caption1"/>
        <w:spacing w:lineRule="auto" w:line="360" w:before="0" w:after="0"/>
        <w:rPr>
          <w:rFonts w:cs="Times New Roman"/>
          <w:szCs w:val="24"/>
          <w:lang w:eastAsia="zh-TW"/>
        </w:rPr>
      </w:pPr>
      <w:bookmarkStart w:id="64" w:name="_Toc454940949"/>
      <w:r>
        <w:rPr>
          <w:rFonts w:cs="Times New Roman"/>
          <w:b/>
          <w:szCs w:val="24"/>
          <w:lang w:eastAsia="zh-TW"/>
        </w:rPr>
        <w:t xml:space="preserve">Figure </w:t>
      </w:r>
      <w:r>
        <w:rPr>
          <w:rFonts w:cs="Times New Roman"/>
          <w:b/>
          <w:szCs w:val="24"/>
          <w:lang w:eastAsia="zh-TW"/>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6</w:t>
      </w:r>
      <w:r>
        <w:rPr>
          <w:b/>
          <w:szCs w:val="24"/>
          <w:rFonts w:cs="Times New Roman"/>
        </w:rPr>
        <w:fldChar w:fldCharType="end"/>
      </w:r>
      <w:r>
        <w:rPr>
          <w:rFonts w:cs="Times New Roman"/>
          <w:szCs w:val="24"/>
          <w:lang w:eastAsia="zh-TW"/>
        </w:rPr>
        <w:t xml:space="preserve"> - Discriminant Function</w:t>
      </w:r>
      <w:bookmarkEnd w:id="64"/>
    </w:p>
    <w:p>
      <w:pPr>
        <w:pStyle w:val="Normal"/>
        <w:spacing w:lineRule="auto" w:line="360"/>
        <w:ind w:firstLine="720"/>
        <w:rPr>
          <w:rFonts w:cs="Times New Roman"/>
          <w:szCs w:val="24"/>
          <w:lang w:eastAsia="zh-TW"/>
        </w:rPr>
      </w:pPr>
      <w:r>
        <w:rPr>
          <w:rFonts w:cs="Times New Roman"/>
          <w:szCs w:val="24"/>
          <w:lang w:eastAsia="zh-TW"/>
        </w:rPr>
        <w:t>In the Figure 15 above shows the discriminant function of four type of statistical analysis to predict a categorical variable of the data. Discriminant Functions indicate the process for classification using the best approach for accurate prediction performance results. By looking at some of the approaches above, SVM also apply the same approach to distinguish two sections including linear and non-linear classifications. In the process of classification, not just simply use a linear classification to classify the data based on some classes. SVMs have performed linear classification to non-linear classification, called kernel trick.</w:t>
      </w:r>
    </w:p>
    <w:p>
      <w:pPr>
        <w:pStyle w:val="Normal"/>
        <w:spacing w:lineRule="auto" w:line="360"/>
        <w:jc w:val="center"/>
        <w:rPr>
          <w:rFonts w:cs="Times New Roman"/>
          <w:szCs w:val="24"/>
          <w:lang w:eastAsia="zh-TW"/>
        </w:rPr>
      </w:pPr>
      <w:r>
        <w:rPr/>
        <w:drawing>
          <wp:inline distT="0" distB="8255" distL="0" distR="2540">
            <wp:extent cx="3083560" cy="1020445"/>
            <wp:effectExtent l="0" t="0" r="0" b="0"/>
            <wp:docPr id="9" name="Picture 14" descr="http://www.statsoft.com/textbook/graphics/SVMIntro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http://www.statsoft.com/textbook/graphics/SVMIntro15.gif"/>
                    <pic:cNvPicPr>
                      <a:picLocks noChangeAspect="1" noChangeArrowheads="1"/>
                    </pic:cNvPicPr>
                  </pic:nvPicPr>
                  <pic:blipFill>
                    <a:blip r:embed="rId13"/>
                    <a:stretch>
                      <a:fillRect/>
                    </a:stretch>
                  </pic:blipFill>
                  <pic:spPr bwMode="auto">
                    <a:xfrm>
                      <a:off x="0" y="0"/>
                      <a:ext cx="3083560" cy="1020445"/>
                    </a:xfrm>
                    <a:prstGeom prst="rect">
                      <a:avLst/>
                    </a:prstGeom>
                  </pic:spPr>
                </pic:pic>
              </a:graphicData>
            </a:graphic>
          </wp:inline>
        </w:drawing>
      </w:r>
    </w:p>
    <w:p>
      <w:pPr>
        <w:pStyle w:val="Caption1"/>
        <w:spacing w:lineRule="auto" w:line="360" w:before="0" w:after="0"/>
        <w:rPr>
          <w:rFonts w:cs="Times New Roman"/>
          <w:szCs w:val="24"/>
          <w:lang w:eastAsia="zh-TW"/>
        </w:rPr>
      </w:pPr>
      <w:bookmarkStart w:id="65" w:name="_Toc454940950"/>
      <w:r>
        <w:rPr>
          <w:rFonts w:cs="Times New Roman"/>
          <w:b/>
          <w:szCs w:val="24"/>
          <w:lang w:eastAsia="zh-TW"/>
        </w:rPr>
        <w:t xml:space="preserve">Figure </w:t>
      </w:r>
      <w:r>
        <w:rPr>
          <w:rFonts w:cs="Times New Roman"/>
          <w:b/>
          <w:szCs w:val="24"/>
          <w:lang w:eastAsia="zh-TW"/>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7</w:t>
      </w:r>
      <w:r>
        <w:rPr>
          <w:b/>
          <w:szCs w:val="24"/>
          <w:rFonts w:cs="Times New Roman"/>
        </w:rPr>
        <w:fldChar w:fldCharType="end"/>
      </w:r>
      <w:r>
        <w:rPr>
          <w:rFonts w:cs="Times New Roman"/>
          <w:szCs w:val="24"/>
          <w:lang w:eastAsia="zh-TW"/>
        </w:rPr>
        <w:t xml:space="preserve"> - SVM Kernel Functions</w:t>
      </w:r>
      <w:bookmarkEnd w:id="65"/>
    </w:p>
    <w:p>
      <w:pPr>
        <w:pStyle w:val="Normal"/>
        <w:spacing w:lineRule="auto" w:line="360"/>
        <w:ind w:firstLine="720"/>
        <w:rPr>
          <w:rFonts w:cs="Times New Roman"/>
          <w:szCs w:val="24"/>
          <w:lang w:eastAsia="zh-TW"/>
        </w:rPr>
      </w:pPr>
      <w:r>
        <w:rPr>
          <w:rFonts w:cs="Times New Roman"/>
          <w:szCs w:val="24"/>
          <w:lang w:eastAsia="zh-TW"/>
        </w:rPr>
        <w:t xml:space="preserve">Figure 16 shows four kernels can be used in SVM models include linear, polynomial, radial basis function (RBF) and sigmoid. We used kernel functions in the classification of data to change the data to higher dimensional feature space with the aim that can accurately classify (linearly or non-linearly separable). </w:t>
      </w:r>
    </w:p>
    <w:p>
      <w:pPr>
        <w:pStyle w:val="Normal"/>
        <w:spacing w:lineRule="auto" w:line="360"/>
        <w:jc w:val="center"/>
        <w:rPr>
          <w:rFonts w:cs="Times New Roman"/>
          <w:szCs w:val="24"/>
          <w:lang w:eastAsia="zh-TW"/>
        </w:rPr>
      </w:pPr>
      <w:r>
        <w:rPr/>
        <w:drawing>
          <wp:inline distT="0" distB="5715" distL="0" distR="0">
            <wp:extent cx="5058410" cy="1594485"/>
            <wp:effectExtent l="0" t="0" r="0" b="0"/>
            <wp:docPr id="1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
                    <pic:cNvPicPr>
                      <a:picLocks noChangeAspect="1" noChangeArrowheads="1"/>
                    </pic:cNvPicPr>
                  </pic:nvPicPr>
                  <pic:blipFill>
                    <a:blip r:embed="rId14"/>
                    <a:stretch>
                      <a:fillRect/>
                    </a:stretch>
                  </pic:blipFill>
                  <pic:spPr bwMode="auto">
                    <a:xfrm>
                      <a:off x="0" y="0"/>
                      <a:ext cx="5058410" cy="1594485"/>
                    </a:xfrm>
                    <a:prstGeom prst="rect">
                      <a:avLst/>
                    </a:prstGeom>
                  </pic:spPr>
                </pic:pic>
              </a:graphicData>
            </a:graphic>
          </wp:inline>
        </w:drawing>
      </w:r>
    </w:p>
    <w:p>
      <w:pPr>
        <w:pStyle w:val="Caption1"/>
        <w:spacing w:lineRule="auto" w:line="360" w:before="0" w:after="0"/>
        <w:rPr>
          <w:rFonts w:cs="Times New Roman"/>
          <w:szCs w:val="24"/>
          <w:lang w:eastAsia="zh-TW"/>
        </w:rPr>
      </w:pPr>
      <w:bookmarkStart w:id="66" w:name="_Toc454940951"/>
      <w:r>
        <w:rPr>
          <w:rFonts w:cs="Times New Roman"/>
          <w:b/>
          <w:szCs w:val="24"/>
          <w:lang w:eastAsia="zh-TW"/>
        </w:rPr>
        <w:t xml:space="preserve">Figure </w:t>
      </w:r>
      <w:r>
        <w:rPr>
          <w:rFonts w:cs="Times New Roman"/>
          <w:b/>
          <w:szCs w:val="24"/>
          <w:lang w:eastAsia="zh-TW"/>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8</w:t>
      </w:r>
      <w:r>
        <w:rPr>
          <w:b/>
          <w:szCs w:val="24"/>
          <w:rFonts w:cs="Times New Roman"/>
        </w:rPr>
        <w:fldChar w:fldCharType="end"/>
      </w:r>
      <w:r>
        <w:rPr>
          <w:rFonts w:cs="Times New Roman"/>
          <w:szCs w:val="24"/>
          <w:lang w:eastAsia="zh-TW"/>
        </w:rPr>
        <w:t xml:space="preserve"> - Comparison of SVM Kernel</w:t>
      </w:r>
      <w:bookmarkEnd w:id="66"/>
      <w:r>
        <w:rPr>
          <w:rFonts w:cs="Times New Roman"/>
          <w:szCs w:val="24"/>
          <w:lang w:eastAsia="zh-TW"/>
        </w:rPr>
        <w:t>s</w:t>
      </w:r>
    </w:p>
    <w:p>
      <w:pPr>
        <w:pStyle w:val="Normal"/>
        <w:spacing w:lineRule="auto" w:line="360"/>
        <w:rPr>
          <w:lang w:eastAsia="zh-TW"/>
        </w:rPr>
      </w:pPr>
      <w:r>
        <w:rPr>
          <w:lang w:eastAsia="zh-TW"/>
        </w:rPr>
        <w:tab/>
        <w:t>Figure 17 shows the comparison of four kernels in SVM models with their visualizations. There are three colors (read, blue and yellow) represented three classes map data point for classifications. RBF kernel has better classification for the data points in map with correctly separate the color based on each their families color and accurately draw the color for non-linear separable data. In this study, we applied SVM with RBF kernel as one of our classifier and we compare with other classifiers.</w:t>
      </w:r>
    </w:p>
    <w:p>
      <w:pPr>
        <w:pStyle w:val="Heading3"/>
        <w:spacing w:lineRule="auto" w:line="360"/>
        <w:rPr>
          <w:lang w:eastAsia="zh-TW"/>
        </w:rPr>
      </w:pPr>
      <w:bookmarkStart w:id="67" w:name="__RefHeading___Toc27370_277794404"/>
      <w:bookmarkStart w:id="68" w:name="_Toc455040204"/>
      <w:bookmarkEnd w:id="67"/>
      <w:r>
        <w:rPr>
          <w:lang w:eastAsia="zh-TW"/>
        </w:rPr>
        <w:t>3.3.3. WEKA Tools</w:t>
      </w:r>
      <w:bookmarkEnd w:id="68"/>
    </w:p>
    <w:p>
      <w:pPr>
        <w:pStyle w:val="Normal"/>
        <w:spacing w:lineRule="auto" w:line="360"/>
        <w:ind w:firstLine="720"/>
        <w:rPr>
          <w:lang w:eastAsia="zh-TW"/>
        </w:rPr>
      </w:pPr>
      <w:r>
        <w:rPr>
          <w:lang w:eastAsia="zh-TW"/>
        </w:rPr>
        <w:t xml:space="preserve">Waikato Environment for Knowledge Analysis (WEKA) </w:t>
      </w:r>
      <w:r>
        <w:fldChar w:fldCharType="begin"/>
      </w:r>
      <w:r>
        <w:rPr/>
        <w:instrText>ADDIN EN.CITE &lt;EndNote&gt;&lt;Cite&gt;&lt;Author&gt;Holmes&lt;/Author&gt;&lt;Year&gt;1994&lt;/Year&gt;&lt;RecNum&gt;89&lt;/RecNum&gt;&lt;DisplayText&gt;[81]&lt;/DisplayText&gt;&lt;record&gt;&lt;rec-number&gt;89&lt;/rec-number&gt;&lt;foreign-keys&gt;&lt;key app="EN" db-id="2warfrwsqwwxzpe00v350s2vvz52tt0pvew0" timestamp="1455927403"&gt;89&lt;/key&gt;&lt;/foreign-keys&gt;&lt;ref-type name="Conference Proceedings"&gt;10&lt;/ref-type&gt;&lt;contributors&gt;&lt;authors&gt;&lt;author&gt;Holmes, Geoffrey&lt;/author&gt;&lt;author&gt;Donkin, Andrew&lt;/author&gt;&lt;author&gt;Witten, Ian H&lt;/author&gt;&lt;/authors&gt;&lt;/contributors&gt;&lt;titles&gt;&lt;title&gt;Weka: A machine learning workbench&lt;/title&gt;&lt;secondary-title&gt;Intelligent Information Systems, 1994. Proceedings of the 1994 Second Australian and New Zealand Conference on&lt;/secondary-title&gt;&lt;/titles&gt;&lt;pages&gt;357-361&lt;/pages&gt;&lt;dates&gt;&lt;year&gt;1994&lt;/year&gt;&lt;/dates&gt;&lt;publisher&gt;IEEE&lt;/publisher&gt;&lt;isbn&gt;0780324048&lt;/isbn&gt;&lt;urls&gt;&lt;/urls&gt;&lt;/record&gt;&lt;/Cite&gt;&lt;/EndNote&gt;</w:instrText>
      </w:r>
      <w:r>
        <w:rPr/>
        <w:fldChar w:fldCharType="separate"/>
      </w:r>
      <w:bookmarkStart w:id="69" w:name="__Fieldmark__19692_277794404"/>
      <w:r>
        <w:rPr>
          <w:lang w:eastAsia="zh-TW"/>
        </w:rPr>
        <w:t>[81]</w:t>
      </w:r>
      <w:r>
        <w:rPr>
          <w:lang w:eastAsia="zh-TW"/>
        </w:rPr>
      </w:r>
      <w:r>
        <w:rPr/>
        <w:fldChar w:fldCharType="end"/>
      </w:r>
      <w:hyperlink w:anchor="_ENREF_81" w:tgtFrame="Holmes, 1994 #89">
        <w:bookmarkEnd w:id="69"/>
        <w:r>
          <w:rPr>
            <w:lang w:eastAsia="zh-TW"/>
          </w:rPr>
          <w:t xml:space="preserve"> is one of the machine learning tools and freely accessible at </w:t>
        </w:r>
      </w:hyperlink>
      <w:hyperlink r:id="rId15">
        <w:r>
          <w:rPr>
            <w:rStyle w:val="InternetLink"/>
            <w:lang w:eastAsia="zh-TW"/>
          </w:rPr>
          <w:t>http://www.cs.waikato.ac.nz/ml/weka/</w:t>
        </w:r>
      </w:hyperlink>
      <w:r>
        <w:rPr>
          <w:lang w:eastAsia="zh-TW"/>
        </w:rPr>
        <w:t xml:space="preserve">. For classification process, we used some classifiers from WEKA including Random Forest, Naïve Bayes and K-Nearest Neighbors. </w:t>
      </w:r>
    </w:p>
    <w:p>
      <w:pPr>
        <w:pStyle w:val="Heading4"/>
        <w:rPr/>
      </w:pPr>
      <w:bookmarkStart w:id="70" w:name="__RefHeading___Toc27372_277794404"/>
      <w:bookmarkStart w:id="71" w:name="_Toc455040205"/>
      <w:bookmarkEnd w:id="70"/>
      <w:r>
        <w:rPr/>
        <w:t>3.3.3.1. Random Forest Classifiers</w:t>
      </w:r>
      <w:bookmarkEnd w:id="71"/>
    </w:p>
    <w:p>
      <w:pPr>
        <w:pStyle w:val="Normal"/>
        <w:spacing w:lineRule="auto" w:line="360"/>
        <w:ind w:firstLine="720"/>
        <w:rPr>
          <w:rFonts w:cs="Times New Roman"/>
          <w:szCs w:val="24"/>
          <w:lang w:eastAsia="zh-TW"/>
        </w:rPr>
      </w:pPr>
      <w:r>
        <w:rPr>
          <w:rFonts w:cs="Times New Roman"/>
          <w:szCs w:val="24"/>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"Bootstrap Aggregating" </w:t>
      </w:r>
      <w:r>
        <w:rPr>
          <w:rFonts w:cs="Times New Roman"/>
          <w:color w:val="000000" w:themeColor="text1"/>
          <w:szCs w:val="24"/>
          <w:lang w:eastAsia="zh-TW"/>
        </w:rPr>
        <w:t>(</w:t>
      </w:r>
      <w:r>
        <w:rPr>
          <w:rFonts w:cs="Times New Roman"/>
          <w:color w:val="000000" w:themeColor="text1"/>
          <w:szCs w:val="24"/>
          <w:shd w:fill="FFFFFF" w:val="clear"/>
        </w:rPr>
        <w:t>reduce variance</w:t>
      </w:r>
      <w:r>
        <w:rPr>
          <w:rFonts w:cs="Times New Roman"/>
          <w:color w:val="000000" w:themeColor="text1"/>
          <w:szCs w:val="24"/>
          <w:lang w:eastAsia="zh-TW"/>
        </w:rPr>
        <w:t xml:space="preserve">) </w:t>
      </w:r>
      <w:r>
        <w:rPr>
          <w:rFonts w:cs="Times New Roman"/>
          <w:szCs w:val="24"/>
          <w:lang w:eastAsia="zh-TW"/>
        </w:rPr>
        <w:t xml:space="preserve">and the random selection of features in the training sets (classification and regression tree). In WEKA, there are several packages to find the Class of Random Forest. The location package contained in the package </w:t>
      </w:r>
      <w:r>
        <w:rPr>
          <w:rFonts w:cs="Times New Roman"/>
          <w:i/>
          <w:szCs w:val="24"/>
          <w:lang w:eastAsia="zh-TW"/>
        </w:rPr>
        <w:t>weka.classifiers.trees</w:t>
      </w:r>
      <w:r>
        <w:rPr>
          <w:rFonts w:cs="Times New Roman"/>
          <w:szCs w:val="24"/>
          <w:lang w:eastAsia="zh-TW"/>
        </w:rPr>
        <w:t xml:space="preserve"> and the package also include some of the same algorithm adopted by Random Forest. Furthermore, some valid options or the function parameters required to use in this algorithm. Some parameters include in the Class of Random Forest:</w:t>
      </w:r>
    </w:p>
    <w:p>
      <w:pPr>
        <w:pStyle w:val="ListParagraph"/>
        <w:numPr>
          <w:ilvl w:val="0"/>
          <w:numId w:val="1"/>
        </w:numPr>
        <w:spacing w:lineRule="auto" w:line="360"/>
        <w:rPr>
          <w:rFonts w:cs="Times New Roman"/>
          <w:szCs w:val="24"/>
          <w:lang w:eastAsia="zh-TW"/>
        </w:rPr>
      </w:pPr>
      <w:r>
        <w:rPr>
          <w:rFonts w:cs="Times New Roman"/>
          <w:szCs w:val="24"/>
          <w:lang w:eastAsia="zh-TW"/>
        </w:rPr>
        <w:t>Debug</w:t>
        <w:tab/>
        <w:tab/>
        <w:t>: (-D) Return some output for additional info.</w:t>
      </w:r>
    </w:p>
    <w:p>
      <w:pPr>
        <w:pStyle w:val="ListParagraph"/>
        <w:numPr>
          <w:ilvl w:val="0"/>
          <w:numId w:val="1"/>
        </w:numPr>
        <w:spacing w:lineRule="auto" w:line="360"/>
        <w:rPr>
          <w:rFonts w:cs="Times New Roman"/>
          <w:szCs w:val="24"/>
          <w:lang w:eastAsia="zh-TW"/>
        </w:rPr>
      </w:pPr>
      <w:r>
        <w:rPr>
          <w:rFonts w:cs="Times New Roman"/>
          <w:szCs w:val="24"/>
          <w:lang w:eastAsia="zh-TW"/>
        </w:rPr>
        <w:t>maxDepth</w:t>
        <w:tab/>
        <w:t>: (-K) Variable type integer and it’s mean maximum depth of the trees.</w:t>
      </w:r>
    </w:p>
    <w:p>
      <w:pPr>
        <w:pStyle w:val="ListParagraph"/>
        <w:numPr>
          <w:ilvl w:val="0"/>
          <w:numId w:val="1"/>
        </w:numPr>
        <w:spacing w:lineRule="auto" w:line="360"/>
        <w:rPr>
          <w:rFonts w:cs="Times New Roman"/>
          <w:szCs w:val="24"/>
          <w:lang w:eastAsia="zh-TW"/>
        </w:rPr>
      </w:pPr>
      <w:r>
        <w:rPr>
          <w:rFonts w:cs="Times New Roman"/>
          <w:szCs w:val="24"/>
          <w:lang w:eastAsia="zh-TW"/>
        </w:rPr>
        <w:t>numFeatures</w:t>
        <w:tab/>
        <w:t>: (-K) How many random selection feature in the dataset.</w:t>
      </w:r>
    </w:p>
    <w:p>
      <w:pPr>
        <w:pStyle w:val="ListParagraph"/>
        <w:numPr>
          <w:ilvl w:val="0"/>
          <w:numId w:val="1"/>
        </w:numPr>
        <w:spacing w:lineRule="auto" w:line="360"/>
        <w:rPr>
          <w:rFonts w:cs="Times New Roman"/>
          <w:szCs w:val="24"/>
          <w:lang w:eastAsia="zh-TW"/>
        </w:rPr>
      </w:pPr>
      <w:r>
        <w:rPr>
          <w:rFonts w:cs="Times New Roman"/>
          <w:szCs w:val="24"/>
          <w:lang w:eastAsia="zh-TW"/>
        </w:rPr>
        <w:t>numTrees</w:t>
        <w:tab/>
        <w:t>: (-I) How many number of tree to be used in the training process.</w:t>
      </w:r>
    </w:p>
    <w:p>
      <w:pPr>
        <w:pStyle w:val="ListParagraph"/>
        <w:numPr>
          <w:ilvl w:val="0"/>
          <w:numId w:val="1"/>
        </w:numPr>
        <w:spacing w:lineRule="auto" w:line="360"/>
        <w:rPr>
          <w:rFonts w:cs="Times New Roman"/>
          <w:szCs w:val="24"/>
          <w:lang w:eastAsia="zh-TW"/>
        </w:rPr>
      </w:pPr>
      <w:r>
        <w:rPr>
          <w:rFonts w:cs="Times New Roman"/>
          <w:szCs w:val="24"/>
          <w:lang w:eastAsia="zh-TW"/>
        </w:rPr>
        <w:t>Seed</w:t>
        <w:tab/>
        <w:tab/>
        <w:t>: (-S) Parameter for random number seed.</w:t>
      </w:r>
    </w:p>
    <w:p>
      <w:pPr>
        <w:pStyle w:val="Normal"/>
        <w:spacing w:lineRule="auto" w:line="360"/>
        <w:rPr>
          <w:rFonts w:cs="Times New Roman"/>
          <w:szCs w:val="24"/>
          <w:lang w:eastAsia="zh-TW"/>
        </w:rPr>
      </w:pPr>
      <w:r>
        <w:rPr>
          <w:rFonts w:cs="Times New Roman"/>
          <w:szCs w:val="24"/>
          <w:lang w:eastAsia="zh-TW"/>
        </w:rPr>
        <w:t>During training process and the prediction result we tried to change numFeatures and numTrees to perform the prediction results and other parameters set by default options. For example set of parameter configuration in clipboard “</w:t>
      </w:r>
      <w:r>
        <w:rPr>
          <w:rFonts w:cs="Times New Roman"/>
          <w:i/>
          <w:szCs w:val="24"/>
          <w:lang w:eastAsia="zh-TW"/>
        </w:rPr>
        <w:t>weka.classifiers.trees.RandomForest -I 20 -K 100 -S 1</w:t>
      </w:r>
      <w:r>
        <w:rPr>
          <w:rFonts w:cs="Times New Roman"/>
          <w:szCs w:val="24"/>
          <w:lang w:eastAsia="zh-TW"/>
        </w:rPr>
        <w:t>”.</w:t>
      </w:r>
    </w:p>
    <w:p>
      <w:pPr>
        <w:pStyle w:val="Heading4"/>
        <w:rPr/>
      </w:pPr>
      <w:bookmarkStart w:id="72" w:name="__RefHeading___Toc27374_277794404"/>
      <w:bookmarkStart w:id="73" w:name="_Toc455040206"/>
      <w:bookmarkEnd w:id="72"/>
      <w:r>
        <w:rPr/>
        <w:t>3.3.3.2. Naïve Bayes Classifiers</w:t>
      </w:r>
      <w:bookmarkEnd w:id="73"/>
    </w:p>
    <w:p>
      <w:pPr>
        <w:pStyle w:val="Normal"/>
        <w:spacing w:lineRule="auto" w:line="360"/>
        <w:rPr>
          <w:rFonts w:cs="Times New Roman"/>
          <w:szCs w:val="24"/>
          <w:lang w:eastAsia="zh-TW"/>
        </w:rPr>
      </w:pPr>
      <w:r>
        <w:rPr>
          <w:rFonts w:cs="Times New Roman"/>
          <w:szCs w:val="24"/>
          <w:lang w:eastAsia="zh-TW"/>
        </w:rPr>
        <w:t xml:space="preserve">Naive Bayes algorithm is one of the probabilistic classifier (probability distribution over a set of classes) applying Bayes' theorem focused on the probability of each attribute in each class by prioritizing independence assumption on predictors (assumption between pair of features). The learning model of this algorithm adopted a supervised learning approach. Supervised learning is a technique by utilizing the data in this case must have class/label. Simpler with Random Forest classifier, Naïve Bayes classifiers is an easy classifier in training process or build models. The highest probability in each class is used to make prediction based on the calculation probabilities of instance of the class. In WEKA, Naive Bayes have different package with other classifier because Naïve Bayes applied different theorem. In the bayes's package have some classifiers; one of them is Naive Bayes classifiers. The location package contained in the package </w:t>
      </w:r>
      <w:r>
        <w:rPr>
          <w:rFonts w:cs="Times New Roman"/>
          <w:i/>
          <w:szCs w:val="24"/>
          <w:lang w:eastAsia="zh-TW"/>
        </w:rPr>
        <w:t>weka.classifiers.bayes</w:t>
      </w:r>
      <w:r>
        <w:rPr>
          <w:rFonts w:cs="Times New Roman"/>
          <w:szCs w:val="24"/>
          <w:lang w:eastAsia="zh-TW"/>
        </w:rPr>
        <w:t>. Furthermore, some valid options or the function parameters required to use in this algorithm. Below showed some parameters include in the class of Naive Bayes:</w:t>
      </w:r>
    </w:p>
    <w:p>
      <w:pPr>
        <w:pStyle w:val="ListParagraph"/>
        <w:numPr>
          <w:ilvl w:val="0"/>
          <w:numId w:val="2"/>
        </w:numPr>
        <w:spacing w:lineRule="auto" w:line="360"/>
        <w:rPr>
          <w:rFonts w:cs="Times New Roman"/>
          <w:szCs w:val="24"/>
          <w:lang w:eastAsia="zh-TW"/>
        </w:rPr>
      </w:pPr>
      <w:r>
        <w:rPr>
          <w:rFonts w:cs="Times New Roman"/>
          <w:szCs w:val="24"/>
          <w:lang w:eastAsia="zh-TW"/>
        </w:rPr>
        <w:t>Debug</w:t>
        <w:tab/>
        <w:tab/>
        <w:tab/>
        <w:tab/>
        <w:t>: return some output for additional info.</w:t>
      </w:r>
    </w:p>
    <w:p>
      <w:pPr>
        <w:pStyle w:val="ListParagraph"/>
        <w:numPr>
          <w:ilvl w:val="0"/>
          <w:numId w:val="2"/>
        </w:numPr>
        <w:spacing w:lineRule="auto" w:line="360"/>
        <w:rPr>
          <w:rFonts w:cs="Times New Roman"/>
          <w:szCs w:val="24"/>
          <w:lang w:eastAsia="zh-TW"/>
        </w:rPr>
      </w:pPr>
      <w:r>
        <w:rPr>
          <w:rFonts w:cs="Times New Roman"/>
          <w:szCs w:val="24"/>
          <w:lang w:eastAsia="zh-TW"/>
        </w:rPr>
        <w:t>displayModelInOldFormat</w:t>
        <w:tab/>
        <w:t xml:space="preserve">: (-O) Boolean type parameter , use old format for model output. </w:t>
      </w:r>
    </w:p>
    <w:p>
      <w:pPr>
        <w:pStyle w:val="ListParagraph"/>
        <w:numPr>
          <w:ilvl w:val="0"/>
          <w:numId w:val="2"/>
        </w:numPr>
        <w:spacing w:lineRule="auto" w:line="360"/>
        <w:rPr>
          <w:rFonts w:cs="Times New Roman"/>
          <w:szCs w:val="24"/>
          <w:lang w:eastAsia="zh-TW"/>
        </w:rPr>
      </w:pPr>
      <w:r>
        <w:rPr>
          <w:rFonts w:cs="Times New Roman"/>
          <w:szCs w:val="24"/>
          <w:lang w:eastAsia="zh-TW"/>
        </w:rPr>
        <w:t>useKernelEstimator</w:t>
        <w:tab/>
        <w:tab/>
        <w:t xml:space="preserve">: (-K) Boolean type parameter, with kernel estimator based on the analysis of the training data for numeric attributes. </w:t>
      </w:r>
    </w:p>
    <w:p>
      <w:pPr>
        <w:pStyle w:val="ListParagraph"/>
        <w:numPr>
          <w:ilvl w:val="0"/>
          <w:numId w:val="2"/>
        </w:numPr>
        <w:spacing w:lineRule="auto" w:line="360"/>
        <w:rPr>
          <w:rFonts w:cs="Times New Roman"/>
          <w:szCs w:val="24"/>
          <w:lang w:eastAsia="zh-TW"/>
        </w:rPr>
      </w:pPr>
      <w:r>
        <w:rPr>
          <w:rFonts w:cs="Times New Roman"/>
          <w:szCs w:val="24"/>
          <w:lang w:eastAsia="zh-TW"/>
        </w:rPr>
        <w:t>useSupervisedDiscretization</w:t>
        <w:tab/>
        <w:t>: (-D) Boolean type parameter, use supervised discretization (convert numeric attributes to nominal)</w:t>
      </w:r>
    </w:p>
    <w:p>
      <w:pPr>
        <w:pStyle w:val="Normal"/>
        <w:spacing w:lineRule="auto" w:line="360"/>
        <w:rPr>
          <w:rFonts w:cs="Times New Roman"/>
          <w:szCs w:val="24"/>
          <w:lang w:eastAsia="zh-TW"/>
        </w:rPr>
      </w:pPr>
      <w:r>
        <w:rPr>
          <w:rFonts w:cs="Times New Roman"/>
          <w:szCs w:val="24"/>
          <w:lang w:eastAsia="zh-TW"/>
        </w:rPr>
        <w:t>During the training process, we used default option as our parameter in the Naïve Bayes classifiers.</w:t>
      </w:r>
    </w:p>
    <w:p>
      <w:pPr>
        <w:pStyle w:val="Heading4"/>
        <w:rPr/>
      </w:pPr>
      <w:bookmarkStart w:id="74" w:name="__RefHeading___Toc27376_277794404"/>
      <w:bookmarkStart w:id="75" w:name="_Toc455040207"/>
      <w:bookmarkEnd w:id="74"/>
      <w:r>
        <w:rPr/>
        <w:t>3.3.3.3. K-Nearest Neighbors (KNN)</w:t>
      </w:r>
      <w:bookmarkEnd w:id="75"/>
    </w:p>
    <w:p>
      <w:pPr>
        <w:pStyle w:val="Normal"/>
        <w:spacing w:lineRule="auto" w:line="360"/>
        <w:ind w:firstLine="360"/>
        <w:rPr>
          <w:rFonts w:cs="Times New Roman"/>
          <w:szCs w:val="24"/>
          <w:lang w:eastAsia="zh-TW"/>
        </w:rPr>
      </w:pPr>
      <w:r>
        <w:rPr>
          <w:rFonts w:cs="Times New Roman"/>
          <w:szCs w:val="24"/>
          <w:lang w:eastAsia="zh-TW"/>
        </w:rPr>
        <w:t xml:space="preserve">K-Nearest Neighbors (KNN) is a classifier with based on the Lazy learning and Instance-based (IBk) learning algorithms (selection K based value based on model evaluation method or cross validation). Further, </w:t>
      </w:r>
      <w:r>
        <w:rPr>
          <w:rFonts w:cs="Times New Roman"/>
          <w:i/>
          <w:szCs w:val="24"/>
          <w:lang w:eastAsia="zh-TW"/>
        </w:rPr>
        <w:t>Lazy learning</w:t>
      </w:r>
      <w:r>
        <w:rPr>
          <w:rFonts w:cs="Times New Roman"/>
          <w:szCs w:val="24"/>
          <w:lang w:eastAsia="zh-TW"/>
        </w:rPr>
        <w:t xml:space="preserve">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w:t>
      </w:r>
      <w:r>
        <w:rPr>
          <w:rFonts w:cs="Times New Roman"/>
          <w:i/>
          <w:szCs w:val="24"/>
          <w:lang w:eastAsia="zh-TW"/>
        </w:rPr>
        <w:t>eager learning</w:t>
      </w:r>
      <w:r>
        <w:rPr>
          <w:rFonts w:cs="Times New Roman"/>
          <w:szCs w:val="24"/>
          <w:lang w:eastAsia="zh-TW"/>
        </w:rPr>
        <w:t xml:space="preserve">, </w:t>
      </w:r>
      <w:r>
        <w:rPr>
          <w:rFonts w:cs="Times New Roman"/>
          <w:i/>
          <w:szCs w:val="24"/>
          <w:lang w:eastAsia="zh-TW"/>
        </w:rPr>
        <w:t>eager learning</w:t>
      </w:r>
      <w:r>
        <w:rPr>
          <w:rFonts w:cs="Times New Roman"/>
          <w:szCs w:val="24"/>
          <w:lang w:eastAsia="zh-TW"/>
        </w:rPr>
        <w:t xml:space="preserve">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 In WEKA, KNN has different package with Naive Bayes and Random Forest because KNN applied different learning method. In the KNN's package have some classifiers; one of them is KNN classifiers. The file location contained in the package </w:t>
      </w:r>
      <w:r>
        <w:rPr>
          <w:rFonts w:cs="Times New Roman"/>
          <w:i/>
          <w:szCs w:val="24"/>
          <w:lang w:eastAsia="zh-TW"/>
        </w:rPr>
        <w:t>weka.classifiers.lazy</w:t>
      </w:r>
      <w:r>
        <w:rPr>
          <w:rFonts w:cs="Times New Roman"/>
          <w:szCs w:val="24"/>
          <w:lang w:eastAsia="zh-TW"/>
        </w:rPr>
        <w:t>. Furthermore, some valid options or the function parameters required to use in this algorithm. Below showed some parameters include in the class of KNN classifiers:</w:t>
      </w:r>
    </w:p>
    <w:p>
      <w:pPr>
        <w:pStyle w:val="ListParagraph"/>
        <w:numPr>
          <w:ilvl w:val="0"/>
          <w:numId w:val="3"/>
        </w:numPr>
        <w:spacing w:lineRule="auto" w:line="360"/>
        <w:rPr>
          <w:rFonts w:cs="Times New Roman"/>
          <w:szCs w:val="24"/>
          <w:lang w:eastAsia="zh-TW"/>
        </w:rPr>
      </w:pPr>
      <w:r>
        <w:rPr>
          <w:rFonts w:cs="Times New Roman"/>
          <w:szCs w:val="24"/>
          <w:lang w:eastAsia="zh-TW"/>
        </w:rPr>
        <w:t>KNN</w:t>
        <w:tab/>
        <w:tab/>
        <w:tab/>
        <w:t>: (-K) Integer type parameter with selected number of neighbors use in the dataset.</w:t>
      </w:r>
    </w:p>
    <w:p>
      <w:pPr>
        <w:pStyle w:val="ListParagraph"/>
        <w:numPr>
          <w:ilvl w:val="0"/>
          <w:numId w:val="3"/>
        </w:numPr>
        <w:spacing w:lineRule="auto" w:line="360"/>
        <w:rPr>
          <w:rFonts w:cs="Times New Roman"/>
          <w:szCs w:val="24"/>
          <w:lang w:eastAsia="zh-TW"/>
        </w:rPr>
      </w:pPr>
      <w:r>
        <w:rPr>
          <w:rFonts w:cs="Times New Roman"/>
          <w:szCs w:val="24"/>
          <w:lang w:eastAsia="zh-TW"/>
        </w:rPr>
        <w:t>crossValidate</w:t>
        <w:tab/>
        <w:tab/>
        <w:t>: (-X) Boolean type parameter, model evaluation method to select the best k value.</w:t>
      </w:r>
    </w:p>
    <w:p>
      <w:pPr>
        <w:pStyle w:val="ListParagraph"/>
        <w:numPr>
          <w:ilvl w:val="0"/>
          <w:numId w:val="3"/>
        </w:numPr>
        <w:spacing w:lineRule="auto" w:line="360"/>
        <w:rPr>
          <w:rFonts w:cs="Times New Roman"/>
          <w:szCs w:val="24"/>
          <w:lang w:eastAsia="zh-TW"/>
        </w:rPr>
      </w:pPr>
      <w:r>
        <w:rPr>
          <w:rFonts w:cs="Times New Roman"/>
          <w:szCs w:val="24"/>
          <w:lang w:eastAsia="zh-TW"/>
        </w:rPr>
        <w:t>Debug</w:t>
        <w:tab/>
        <w:tab/>
        <w:tab/>
        <w:t>: Return some output for additional info.</w:t>
      </w:r>
    </w:p>
    <w:p>
      <w:pPr>
        <w:pStyle w:val="ListParagraph"/>
        <w:numPr>
          <w:ilvl w:val="0"/>
          <w:numId w:val="3"/>
        </w:numPr>
        <w:spacing w:lineRule="auto" w:line="360"/>
        <w:rPr>
          <w:rFonts w:cs="Times New Roman"/>
          <w:szCs w:val="24"/>
          <w:lang w:eastAsia="zh-TW"/>
        </w:rPr>
      </w:pPr>
      <w:r>
        <w:rPr>
          <w:rFonts w:cs="Times New Roman"/>
          <w:szCs w:val="24"/>
          <w:lang w:eastAsia="zh-TW"/>
        </w:rPr>
        <w:t>distanceWeighting</w:t>
        <w:tab/>
        <w:t>: (-I) Selection the distance weighting method.</w:t>
      </w:r>
    </w:p>
    <w:p>
      <w:pPr>
        <w:pStyle w:val="ListParagraph"/>
        <w:numPr>
          <w:ilvl w:val="0"/>
          <w:numId w:val="3"/>
        </w:numPr>
        <w:spacing w:lineRule="auto" w:line="360"/>
        <w:rPr>
          <w:rFonts w:cs="Times New Roman"/>
          <w:szCs w:val="24"/>
          <w:lang w:eastAsia="zh-TW"/>
        </w:rPr>
      </w:pPr>
      <w:r>
        <w:rPr>
          <w:rFonts w:cs="Times New Roman"/>
          <w:szCs w:val="24"/>
          <w:lang w:eastAsia="zh-TW"/>
        </w:rPr>
        <w:t>meanSquared</w:t>
        <w:tab/>
        <w:tab/>
        <w:t>: (-E) Boolean type parameter for calculate the mean squared error</w:t>
      </w:r>
    </w:p>
    <w:p>
      <w:pPr>
        <w:pStyle w:val="ListParagraph"/>
        <w:numPr>
          <w:ilvl w:val="0"/>
          <w:numId w:val="3"/>
        </w:numPr>
        <w:spacing w:lineRule="auto" w:line="360"/>
        <w:rPr>
          <w:rFonts w:cs="Times New Roman"/>
          <w:szCs w:val="24"/>
          <w:lang w:eastAsia="zh-TW"/>
        </w:rPr>
      </w:pPr>
      <w:r>
        <w:rPr>
          <w:rFonts w:cs="Times New Roman"/>
          <w:szCs w:val="24"/>
          <w:lang w:eastAsia="zh-TW"/>
        </w:rPr>
        <w:t xml:space="preserve">nearestNeighbourSearchAlgorithm : (-A) Selection the nearest neighbor search algorithm </w:t>
      </w:r>
    </w:p>
    <w:p>
      <w:pPr>
        <w:pStyle w:val="ListParagraph"/>
        <w:numPr>
          <w:ilvl w:val="0"/>
          <w:numId w:val="3"/>
        </w:numPr>
        <w:spacing w:lineRule="auto" w:line="360"/>
        <w:rPr>
          <w:rFonts w:cs="Times New Roman"/>
          <w:szCs w:val="24"/>
          <w:lang w:eastAsia="zh-TW"/>
        </w:rPr>
      </w:pPr>
      <w:r>
        <w:rPr>
          <w:rFonts w:cs="Times New Roman"/>
          <w:szCs w:val="24"/>
          <w:lang w:eastAsia="zh-TW"/>
        </w:rPr>
        <w:t>windowSize</w:t>
        <w:tab/>
        <w:tab/>
        <w:t>: (-W) Integer type parameter to get the maximum number of instances from training data</w:t>
      </w:r>
    </w:p>
    <w:p>
      <w:pPr>
        <w:pStyle w:val="Normal"/>
        <w:spacing w:lineRule="auto" w:line="360"/>
        <w:rPr>
          <w:rFonts w:cs="Times New Roman"/>
          <w:szCs w:val="24"/>
          <w:lang w:eastAsia="zh-TW"/>
        </w:rPr>
      </w:pPr>
      <w:r>
        <w:rPr>
          <w:rFonts w:cs="Times New Roman"/>
          <w:szCs w:val="24"/>
          <w:lang w:eastAsia="zh-TW"/>
        </w:rPr>
        <w:t>We used and applied this classifier in our prediction and during the prediction results; we change KNN and window size parameters to perform the classification and other parameters set by default options. For example set of parameter configuration in clipboard “</w:t>
      </w:r>
      <w:r>
        <w:rPr>
          <w:rFonts w:cs="Times New Roman"/>
          <w:i/>
          <w:szCs w:val="24"/>
          <w:lang w:eastAsia="zh-TW"/>
        </w:rPr>
        <w:t>weka.classifiers.lazy.IBk -K 100 -W 10 -A "weka.core.neighboursearch.LinearNNSearch -A \"weka.core.EuclideanDistance -R first-last\"”</w:t>
      </w:r>
      <w:r>
        <w:rPr>
          <w:rFonts w:cs="Times New Roman"/>
          <w:szCs w:val="24"/>
          <w:lang w:eastAsia="zh-TW"/>
        </w:rPr>
        <w:t>.</w:t>
      </w:r>
    </w:p>
    <w:p>
      <w:pPr>
        <w:pStyle w:val="Heading2"/>
        <w:spacing w:lineRule="auto" w:line="360"/>
        <w:rPr>
          <w:lang w:eastAsia="zh-TW"/>
        </w:rPr>
      </w:pPr>
      <w:bookmarkStart w:id="76" w:name="__RefHeading___Toc27378_277794404"/>
      <w:bookmarkStart w:id="77" w:name="_Toc455040208"/>
      <w:bookmarkEnd w:id="76"/>
      <w:r>
        <w:rPr>
          <w:lang w:eastAsia="zh-TW"/>
        </w:rPr>
        <w:t>3.4. Position Specific Scoring Matrix (PSSM)</w:t>
      </w:r>
      <w:bookmarkEnd w:id="77"/>
    </w:p>
    <w:p>
      <w:pPr>
        <w:pStyle w:val="Normal"/>
        <w:spacing w:lineRule="auto" w:line="360"/>
        <w:ind w:firstLine="720"/>
        <w:rPr>
          <w:rFonts w:cs="Times New Roman"/>
          <w:szCs w:val="24"/>
        </w:rPr>
      </w:pPr>
      <w:r>
        <w:rPr>
          <w:rFonts w:cs="Times New Roman"/>
          <w:szCs w:val="24"/>
        </w:rPr>
        <w:t xml:space="preserve">Position-Specific Iterative-Basic Local Alignment Search Tool (PSI-BLAST) </w:t>
      </w:r>
      <w:r>
        <w:fldChar w:fldCharType="begin"/>
      </w:r>
      <w:r>
        <w:rPr>
          <w:szCs w:val="24"/>
          <w:rFonts w:cs="Times New Roman"/>
        </w:rPr>
        <w:instrText>ADDIN EN.CITE &lt;EndNote&gt;&lt;Cite&gt;&lt;Author&gt;BLAST&lt;/Author&gt;&lt;RecNum&gt;87&lt;/RecNum&gt;&lt;DisplayText&gt;[84]&lt;/DisplayText&gt;&lt;record&gt;&lt;rec-number&gt;87&lt;/rec-number&gt;&lt;foreign-keys&gt;&lt;key app="EN" db-id="2warfrwsqwwxzpe00v350s2vvz52tt0pvew0" timestamp="1455012607"&gt;87&lt;/key&gt;&lt;/foreign-keys&gt;&lt;ref-type name="Journal Article"&gt;17&lt;/ref-type&gt;&lt;contributors&gt;&lt;authors&gt;&lt;author&gt;BLAST, Gapped&lt;/author&gt;&lt;/authors&gt;&lt;/contributors&gt;&lt;titles&gt;&lt;title&gt;PSI-BLAST: a new generation of protein database search programs Altschul&lt;/title&gt;&lt;secondary-title&gt;Stephen F&lt;/secondary-title&gt;&lt;/titles&gt;&lt;periodical&gt;&lt;full-title&gt;Stephen F&lt;/full-title&gt;&lt;/periodical&gt;&lt;pages&gt;3389-3402&lt;/pages&gt;&lt;dates&gt;&lt;/dates&gt;&lt;urls&gt;&lt;/urls&gt;&lt;/record&gt;&lt;/Cite&gt;&lt;/EndNote&gt;</w:instrText>
      </w:r>
      <w:r>
        <w:rPr>
          <w:szCs w:val="24"/>
          <w:rFonts w:cs="Times New Roman"/>
        </w:rPr>
        <w:fldChar w:fldCharType="separate"/>
      </w:r>
      <w:bookmarkStart w:id="78" w:name="__Fieldmark__20000_277794404"/>
      <w:r>
        <w:rPr>
          <w:rFonts w:cs="Times New Roman"/>
          <w:szCs w:val="24"/>
        </w:rPr>
        <w:t>[84]</w:t>
      </w:r>
      <w:r>
        <w:rPr>
          <w:rFonts w:cs="Times New Roman"/>
          <w:szCs w:val="24"/>
        </w:rPr>
      </w:r>
      <w:r>
        <w:rPr>
          <w:szCs w:val="24"/>
          <w:rFonts w:cs="Times New Roman"/>
        </w:rPr>
        <w:fldChar w:fldCharType="end"/>
      </w:r>
      <w:hyperlink w:anchor="_ENREF_84" w:tgtFrame="BLAST, #87">
        <w:bookmarkEnd w:id="78"/>
        <w:r>
          <w:rPr>
            <w:rFonts w:cs="Times New Roman"/>
            <w:szCs w:val="24"/>
          </w:rPr>
          <w:t xml:space="preserve"> is a method or tool with focus on comparison between query protein and target database contains protein sequences (idea for sequence similarity search) and provide specific score for each protein sequence (idea for generate a position specific scoring matrix using protein–protein BLAST). PSI-BLAST is used to create a Position Specific Scoring Matrix (PSSM) profiles based on each protein sequence and NR (non-redundant) protein database as protein sequences database with three iterations. </w:t>
        </w:r>
      </w:hyperlink>
      <w:r>
        <w:rPr>
          <w:rFonts w:cs="Times New Roman"/>
          <w:color w:val="000000" w:themeColor="text1"/>
          <w:szCs w:val="24"/>
          <w:lang w:eastAsia="zh-TW"/>
        </w:rPr>
        <w:t>A PSSM profiles represent the vector {x</w:t>
      </w:r>
      <w:r>
        <w:rPr>
          <w:rFonts w:cs="Times New Roman"/>
          <w:color w:val="000000" w:themeColor="text1"/>
          <w:szCs w:val="24"/>
          <w:vertAlign w:val="subscript"/>
          <w:lang w:eastAsia="zh-TW"/>
        </w:rPr>
        <w:t>(i,j)</w:t>
      </w:r>
      <w:r>
        <w:rPr>
          <w:rFonts w:cs="Times New Roman"/>
          <w:color w:val="000000" w:themeColor="text1"/>
          <w:szCs w:val="24"/>
          <w:lang w:eastAsia="zh-TW"/>
        </w:rPr>
        <w:t xml:space="preserve"> has </w:t>
      </w:r>
      <w:r>
        <w:rPr>
          <w:rFonts w:cs="Times New Roman"/>
          <w:i/>
          <w:color w:val="000000" w:themeColor="text1"/>
          <w:szCs w:val="24"/>
          <w:lang w:eastAsia="zh-TW"/>
        </w:rPr>
        <w:t>N</w:t>
      </w:r>
      <w:r>
        <w:rPr>
          <w:rFonts w:cs="Times New Roman"/>
          <w:color w:val="000000" w:themeColor="text1"/>
          <w:szCs w:val="24"/>
          <w:lang w:eastAsia="zh-TW"/>
        </w:rPr>
        <w:t xml:space="preserve"> x 20 matrix or element (residue substitution) with </w:t>
      </w:r>
      <w:r>
        <w:rPr>
          <w:rFonts w:cs="Times New Roman"/>
          <w:i/>
          <w:color w:val="000000" w:themeColor="text1"/>
          <w:szCs w:val="24"/>
          <w:lang w:eastAsia="zh-TW"/>
        </w:rPr>
        <w:t>N</w:t>
      </w:r>
      <w:r>
        <w:rPr>
          <w:rFonts w:cs="Times New Roman"/>
          <w:color w:val="000000" w:themeColor="text1"/>
          <w:szCs w:val="24"/>
          <w:lang w:eastAsia="zh-TW"/>
        </w:rPr>
        <w:t xml:space="preserve"> vectors {x</w:t>
      </w:r>
      <w:r>
        <w:rPr>
          <w:rFonts w:cs="Times New Roman"/>
          <w:color w:val="000000" w:themeColor="text1"/>
          <w:szCs w:val="24"/>
          <w:vertAlign w:val="subscript"/>
          <w:lang w:eastAsia="zh-TW"/>
        </w:rPr>
        <w:t>(i,j)</w:t>
      </w:r>
      <w:r>
        <w:rPr>
          <w:rFonts w:cs="Times New Roman"/>
          <w:color w:val="000000" w:themeColor="text1"/>
          <w:szCs w:val="24"/>
          <w:lang w:eastAsia="zh-TW"/>
        </w:rPr>
        <w:t xml:space="preserve">, i=1,2,.....N and j=1,2,....n}, where </w:t>
      </w:r>
      <w:r>
        <w:rPr>
          <w:rFonts w:cs="Times New Roman"/>
          <w:i/>
          <w:color w:val="000000" w:themeColor="text1"/>
          <w:szCs w:val="24"/>
          <w:lang w:eastAsia="zh-TW"/>
        </w:rPr>
        <w:t>N</w:t>
      </w:r>
      <w:r>
        <w:rPr>
          <w:rFonts w:cs="Times New Roman"/>
          <w:color w:val="000000" w:themeColor="text1"/>
          <w:szCs w:val="24"/>
          <w:lang w:eastAsia="zh-TW"/>
        </w:rPr>
        <w:t xml:space="preserve"> is the length of the target protein sequence and </w:t>
      </w:r>
      <w:r>
        <w:rPr>
          <w:rFonts w:cs="Times New Roman"/>
          <w:i/>
          <w:color w:val="000000" w:themeColor="text1"/>
          <w:szCs w:val="24"/>
          <w:lang w:eastAsia="zh-TW"/>
        </w:rPr>
        <w:t>n</w:t>
      </w:r>
      <w:r>
        <w:rPr>
          <w:rFonts w:cs="Times New Roman"/>
          <w:color w:val="000000" w:themeColor="text1"/>
          <w:szCs w:val="24"/>
          <w:lang w:eastAsia="zh-TW"/>
        </w:rPr>
        <w:t xml:space="preserve"> is 20 amino acids. </w:t>
      </w:r>
      <w:r>
        <w:rPr>
          <w:rFonts w:cs="Times New Roman"/>
          <w:szCs w:val="24"/>
        </w:rPr>
        <w:t>In the Figure 15 shows PSSM method to calculate 400 dimension input vectors from PSSM profiles:</w:t>
      </w:r>
    </w:p>
    <w:p>
      <w:pPr>
        <w:pStyle w:val="Normal"/>
        <w:spacing w:lineRule="auto" w:line="360"/>
        <w:jc w:val="center"/>
        <w:rPr>
          <w:rFonts w:cs="Times New Roman"/>
          <w:szCs w:val="24"/>
        </w:rPr>
      </w:pPr>
      <w:r>
        <w:rPr/>
        <w:drawing>
          <wp:inline distT="0" distB="0" distL="0" distR="0">
            <wp:extent cx="4401820" cy="22860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6"/>
                    <a:stretch>
                      <a:fillRect/>
                    </a:stretch>
                  </pic:blipFill>
                  <pic:spPr bwMode="auto">
                    <a:xfrm>
                      <a:off x="0" y="0"/>
                      <a:ext cx="4401820" cy="2286000"/>
                    </a:xfrm>
                    <a:prstGeom prst="rect">
                      <a:avLst/>
                    </a:prstGeom>
                  </pic:spPr>
                </pic:pic>
              </a:graphicData>
            </a:graphic>
          </wp:inline>
        </w:drawing>
      </w:r>
    </w:p>
    <w:p>
      <w:pPr>
        <w:pStyle w:val="Caption1"/>
        <w:rPr>
          <w:rFonts w:cs="Times New Roman"/>
          <w:szCs w:val="24"/>
        </w:rPr>
      </w:pPr>
      <w:bookmarkStart w:id="79" w:name="_Toc454940952"/>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9</w:t>
      </w:r>
      <w:r>
        <w:rPr>
          <w:b/>
          <w:szCs w:val="24"/>
          <w:rFonts w:cs="Times New Roman"/>
        </w:rPr>
        <w:fldChar w:fldCharType="end"/>
      </w:r>
      <w:r>
        <w:rPr>
          <w:rFonts w:cs="Times New Roman"/>
          <w:b/>
          <w:szCs w:val="24"/>
        </w:rPr>
        <w:t xml:space="preserve"> </w:t>
      </w:r>
      <w:r>
        <w:rPr>
          <w:rFonts w:cs="Times New Roman"/>
          <w:szCs w:val="24"/>
        </w:rPr>
        <w:t>- PSSM Method</w:t>
      </w:r>
      <w:bookmarkEnd w:id="79"/>
    </w:p>
    <w:p>
      <w:pPr>
        <w:pStyle w:val="Normal"/>
        <w:spacing w:lineRule="auto" w:line="360"/>
        <w:ind w:firstLine="720"/>
        <w:rPr>
          <w:rFonts w:cs="Times New Roman"/>
          <w:color w:val="000000" w:themeColor="text1"/>
          <w:szCs w:val="24"/>
          <w:lang w:eastAsia="zh-TW"/>
        </w:rPr>
      </w:pPr>
      <w:r>
        <w:rPr>
          <w:rFonts w:cs="Times New Roman"/>
          <w:color w:val="000000" w:themeColor="text1"/>
          <w:szCs w:val="24"/>
          <w:lang w:eastAsia="zh-TW"/>
        </w:rPr>
        <w:t xml:space="preserve">Following all steps in the Figure 15 above, a PSSM profiles (step 1) consists of position component and profile component. Position component of PSSM profiles indicates index of each amino acid residues in a sequence after multiple sequence alignment, and the profile component of PSSM profiles is a matrix with 20 columns represent 20 possible mutations of 20 amino acid residues. PSSM method indicates 400 dimension input vectors from PSSM profiles as input features. Step 2 shows the process of input features by sum up each row of amino acid in the PSSM profiles (keeping in mind the same letter of the amino acid) and then divided by the sequence length (step 3) and the last step (step 4) is scaled by </w:t>
      </w:r>
      <w:r>
        <w:rPr>
          <w:rFonts w:cs="Times New Roman"/>
          <w:color w:val="000000" w:themeColor="text1"/>
          <w:szCs w:val="24"/>
          <w:lang w:eastAsia="zh-TW"/>
        </w:rPr>
      </w:r>
      <m:oMath xmlns:m="http://schemas.openxmlformats.org/officeDocument/2006/math">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x</m:t>
                </m:r>
              </m:sup>
            </m:sSup>
          </m:den>
        </m:f>
      </m:oMath>
      <w:r>
        <w:rPr>
          <w:rFonts w:cs="Times New Roman"/>
          <w:szCs w:val="24"/>
        </w:rPr>
        <w:t>.</w:t>
      </w:r>
    </w:p>
    <w:p>
      <w:pPr>
        <w:pStyle w:val="Heading2"/>
        <w:rPr>
          <w:lang w:eastAsia="zh-TW"/>
        </w:rPr>
      </w:pPr>
      <w:bookmarkStart w:id="80" w:name="__RefHeading___Toc27380_277794404"/>
      <w:bookmarkStart w:id="81" w:name="_Toc455040209"/>
      <w:bookmarkEnd w:id="80"/>
      <w:r>
        <w:rPr>
          <w:lang w:eastAsia="zh-TW"/>
        </w:rPr>
        <w:t>3.5. Amino Acid Composition (AAC)</w:t>
      </w:r>
      <w:bookmarkEnd w:id="81"/>
    </w:p>
    <w:p>
      <w:pPr>
        <w:pStyle w:val="Normal"/>
        <w:spacing w:lineRule="auto" w:line="360"/>
        <w:ind w:firstLine="720"/>
        <w:rPr>
          <w:rFonts w:cs="Times New Roman"/>
          <w:color w:val="000000" w:themeColor="text1"/>
          <w:szCs w:val="24"/>
          <w:lang w:eastAsia="zh-TW"/>
        </w:rPr>
      </w:pPr>
      <w:r>
        <w:rPr>
          <w:rFonts w:cs="Times New Roman"/>
          <w:color w:val="000000" w:themeColor="text1"/>
          <w:szCs w:val="24"/>
          <w:lang w:eastAsia="zh-TW"/>
        </w:rPr>
        <w:t>An amino acid composition (AAC) of proteins is a method to analyze in terms of uniqueness and variability of 20 amino acids in the sequence. Each amino acid has specific characteristics. Commonly, the 20 amino acids in proteins with three letter and one letter codes are listed with Arginine (Arg - R), Lysine (Lys - K), Aspartic acid (Asp - D), Glutamic acid (Glu - E), Glutamine (Gln - Q), Asparagine (Asn - N), Histidine (His - H), Serine (Ser - S), Threonine (Thr - T), Tyrosine (Tyr - Y), Cysteine (Cys - C), Methionine (Met - M), Tryptophan (Trp - W), Alanine (Ala - A), Isoleucine (Ile - I), Leucine (Leu - L), Phenylalanine (Phe - F), Valine (Val - V), Proline (Pro - P), and Glycine (Gly - G). Formulated as follows:</w:t>
      </w:r>
    </w:p>
    <w:p>
      <w:pPr>
        <w:pStyle w:val="Normal"/>
        <w:spacing w:lineRule="auto" w:line="360"/>
        <w:ind w:firstLine="720"/>
        <w:rPr>
          <w:rFonts w:cs="Times New Roman"/>
          <w:color w:val="000000" w:themeColor="text1"/>
          <w:szCs w:val="24"/>
          <w:lang w:eastAsia="zh-TW"/>
        </w:rPr>
      </w:pPr>
      <w:r>
        <w:rPr>
          <w:rFonts w:cs="Times New Roman"/>
          <w:color w:val="000000" w:themeColor="text1"/>
          <w:szCs w:val="24"/>
          <w:lang w:eastAsia="zh-TW"/>
        </w:rPr>
      </w:r>
    </w:p>
    <w:p>
      <w:pPr>
        <w:pStyle w:val="Normal"/>
        <w:spacing w:lineRule="auto" w:line="360"/>
        <w:jc w:val="center"/>
        <w:rPr>
          <w:rFonts w:cs="Times New Roman"/>
          <w:color w:val="000000" w:themeColor="text1"/>
          <w:szCs w:val="24"/>
          <w:lang w:eastAsia="zh-TW"/>
        </w:rPr>
      </w:pPr>
      <w:r>
        <w:rPr/>
        <w:drawing>
          <wp:inline distT="0" distB="0" distL="0" distR="0">
            <wp:extent cx="4638675" cy="277177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7"/>
                    <a:stretch>
                      <a:fillRect/>
                    </a:stretch>
                  </pic:blipFill>
                  <pic:spPr bwMode="auto">
                    <a:xfrm>
                      <a:off x="0" y="0"/>
                      <a:ext cx="4638675" cy="2771775"/>
                    </a:xfrm>
                    <a:prstGeom prst="rect">
                      <a:avLst/>
                    </a:prstGeom>
                  </pic:spPr>
                </pic:pic>
              </a:graphicData>
            </a:graphic>
          </wp:inline>
        </w:drawing>
      </w:r>
    </w:p>
    <w:p>
      <w:pPr>
        <w:pStyle w:val="Caption1"/>
        <w:rPr>
          <w:rFonts w:cs="Times New Roman"/>
          <w:szCs w:val="24"/>
        </w:rPr>
      </w:pPr>
      <w:bookmarkStart w:id="82" w:name="_Toc454940953"/>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10</w:t>
      </w:r>
      <w:r>
        <w:rPr>
          <w:b/>
          <w:szCs w:val="24"/>
          <w:rFonts w:cs="Times New Roman"/>
        </w:rPr>
        <w:fldChar w:fldCharType="end"/>
      </w:r>
      <w:r>
        <w:rPr>
          <w:rFonts w:cs="Times New Roman"/>
          <w:szCs w:val="24"/>
        </w:rPr>
        <w:t xml:space="preserve"> - AAC Method</w:t>
      </w:r>
      <w:bookmarkEnd w:id="82"/>
    </w:p>
    <w:p>
      <w:pPr>
        <w:pStyle w:val="Normal"/>
        <w:spacing w:lineRule="auto" w:line="360"/>
        <w:ind w:firstLine="720"/>
        <w:rPr>
          <w:rFonts w:cs="Times New Roman"/>
          <w:b/>
          <w:b/>
          <w:color w:val="000000" w:themeColor="text1"/>
          <w:szCs w:val="24"/>
          <w:lang w:eastAsia="zh-TW"/>
        </w:rPr>
      </w:pPr>
      <w:r>
        <w:rPr>
          <w:rFonts w:cs="Times New Roman"/>
          <w:color w:val="000000" w:themeColor="text1"/>
          <w:szCs w:val="24"/>
          <w:lang w:eastAsia="zh-TW"/>
        </w:rPr>
        <w:t xml:space="preserve">More importantly, in this study AAC method is a simplest model to represent amino acid of efflux proteins families,  in Figure 16 shows the AAC method to generate the composition of 20 amino acids represent all proteins with </w:t>
      </w:r>
      <w:r>
        <w:rPr>
          <w:rFonts w:cs="Times New Roman"/>
          <w:i/>
          <w:color w:val="000000" w:themeColor="text1"/>
          <w:szCs w:val="24"/>
          <w:lang w:eastAsia="zh-TW"/>
        </w:rPr>
        <w:t>n</w:t>
      </w:r>
      <w:r>
        <w:rPr>
          <w:rFonts w:cs="Times New Roman"/>
          <w:color w:val="000000" w:themeColor="text1"/>
          <w:szCs w:val="24"/>
          <w:lang w:eastAsia="zh-TW"/>
        </w:rPr>
        <w:t xml:space="preserve"> vectors {x</w:t>
      </w:r>
      <w:r>
        <w:rPr>
          <w:rFonts w:cs="Times New Roman"/>
          <w:color w:val="000000" w:themeColor="text1"/>
          <w:szCs w:val="24"/>
          <w:vertAlign w:val="subscript"/>
          <w:lang w:eastAsia="zh-TW"/>
        </w:rPr>
        <w:t>i</w:t>
      </w:r>
      <w:r>
        <w:rPr>
          <w:rFonts w:cs="Times New Roman"/>
          <w:color w:val="000000" w:themeColor="text1"/>
          <w:szCs w:val="24"/>
          <w:lang w:eastAsia="zh-TW"/>
        </w:rPr>
        <w:t xml:space="preserve">, </w:t>
      </w:r>
      <w:r>
        <w:rPr>
          <w:rFonts w:cs="Times New Roman"/>
          <w:i/>
          <w:color w:val="000000" w:themeColor="text1"/>
          <w:szCs w:val="24"/>
          <w:lang w:eastAsia="zh-TW"/>
        </w:rPr>
        <w:t>i</w:t>
      </w:r>
      <w:r>
        <w:rPr>
          <w:rFonts w:cs="Times New Roman"/>
          <w:color w:val="000000" w:themeColor="text1"/>
          <w:szCs w:val="24"/>
          <w:lang w:eastAsia="zh-TW"/>
        </w:rPr>
        <w:t>=1, 2, ..........</w:t>
      </w:r>
      <w:r>
        <w:rPr>
          <w:rFonts w:cs="Times New Roman"/>
          <w:i/>
          <w:color w:val="000000" w:themeColor="text1"/>
          <w:szCs w:val="24"/>
          <w:lang w:eastAsia="zh-TW"/>
        </w:rPr>
        <w:t>n</w:t>
      </w:r>
      <w:r>
        <w:rPr>
          <w:rFonts w:cs="Times New Roman"/>
          <w:color w:val="000000" w:themeColor="text1"/>
          <w:szCs w:val="24"/>
          <w:lang w:eastAsia="zh-TW"/>
        </w:rPr>
        <w:t>}. The vector x</w:t>
      </w:r>
      <w:r>
        <w:rPr>
          <w:rFonts w:cs="Times New Roman"/>
          <w:color w:val="000000" w:themeColor="text1"/>
          <w:szCs w:val="24"/>
          <w:vertAlign w:val="subscript"/>
          <w:lang w:eastAsia="zh-TW"/>
        </w:rPr>
        <w:t>i</w:t>
      </w:r>
      <w:r>
        <w:rPr>
          <w:rFonts w:cs="Times New Roman"/>
          <w:color w:val="000000" w:themeColor="text1"/>
          <w:szCs w:val="24"/>
          <w:lang w:eastAsia="zh-TW"/>
        </w:rPr>
        <w:t xml:space="preserve"> has 20 elements with 20 features (20 dimension vectors) in the datasets to represent the composition of 20 amino acids, respectively. First step is to identify total number of an amino acid appears in the sequence of proteins then divided by the total length of the sequence.</w:t>
      </w:r>
    </w:p>
    <w:p>
      <w:pPr>
        <w:pStyle w:val="Heading2"/>
        <w:rPr>
          <w:lang w:eastAsia="zh-TW"/>
        </w:rPr>
      </w:pPr>
      <w:bookmarkStart w:id="83" w:name="__RefHeading___Toc27382_277794404"/>
      <w:bookmarkStart w:id="84" w:name="_Toc455040210"/>
      <w:bookmarkEnd w:id="83"/>
      <w:r>
        <w:rPr>
          <w:lang w:eastAsia="zh-TW"/>
        </w:rPr>
        <w:t>3.6. Dipeptide Pair Composition (DPC)</w:t>
      </w:r>
      <w:bookmarkEnd w:id="84"/>
    </w:p>
    <w:p>
      <w:pPr>
        <w:pStyle w:val="Normal"/>
        <w:spacing w:lineRule="auto" w:line="360"/>
        <w:ind w:firstLine="720"/>
        <w:rPr>
          <w:rFonts w:cs="Times New Roman"/>
          <w:color w:val="000000" w:themeColor="text1"/>
          <w:szCs w:val="24"/>
          <w:lang w:eastAsia="zh-TW"/>
        </w:rPr>
      </w:pPr>
      <w:r>
        <w:rPr>
          <w:rFonts w:cs="Times New Roman"/>
          <w:color w:val="000000" w:themeColor="text1"/>
          <w:szCs w:val="24"/>
          <w:lang w:eastAsia="zh-TW"/>
        </w:rPr>
        <w:t>Dipeptide Pair Composition (DPC) is analysis to measure the composition of each pair of amino acid residues in a sequence of proteins. DPC apply a calculation using 400 (20x20) possible amino acid pairs (example some possible pair of amino acids: AA, AR, AN, AD, AC, AQ, AE, AG, AH, AI, AL, AK, AM, AF, AP, AS, AT, AW, AY, AV, RA, RR, RN, RD, RC, RQ, RE, RG, RH, RI, RL, RK, RM, RF, RP, RS, RT, RW, RY,…… YH, YI, YL, YK, YM, YF, YP, YS, YT, YW, YY, YV, VA, VR, VN, VD, VC, VQ, VE, VG, VH, VI, VL, VK, VM, VF, VP, VS, VT, VW, VY, and VV). First step is to identify the number of occurrences of a pair of amino acid and then divided by the total length of the sequences, formulated as follows:</w:t>
      </w:r>
    </w:p>
    <w:p>
      <w:pPr>
        <w:pStyle w:val="Normal"/>
        <w:spacing w:lineRule="auto" w:line="360"/>
        <w:jc w:val="center"/>
        <w:rPr>
          <w:rFonts w:cs="Times New Roman"/>
          <w:szCs w:val="24"/>
        </w:rPr>
      </w:pPr>
      <w:r>
        <w:rPr/>
        <w:drawing>
          <wp:inline distT="0" distB="2540" distL="0" distR="0">
            <wp:extent cx="3657600" cy="226504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8"/>
                    <a:stretch>
                      <a:fillRect/>
                    </a:stretch>
                  </pic:blipFill>
                  <pic:spPr bwMode="auto">
                    <a:xfrm>
                      <a:off x="0" y="0"/>
                      <a:ext cx="3657600" cy="2265045"/>
                    </a:xfrm>
                    <a:prstGeom prst="rect">
                      <a:avLst/>
                    </a:prstGeom>
                  </pic:spPr>
                </pic:pic>
              </a:graphicData>
            </a:graphic>
          </wp:inline>
        </w:drawing>
      </w:r>
    </w:p>
    <w:p>
      <w:pPr>
        <w:pStyle w:val="Caption1"/>
        <w:rPr>
          <w:rFonts w:cs="Times New Roman"/>
          <w:szCs w:val="24"/>
        </w:rPr>
      </w:pPr>
      <w:bookmarkStart w:id="85" w:name="_Toc454940954"/>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11</w:t>
      </w:r>
      <w:r>
        <w:rPr>
          <w:b/>
          <w:szCs w:val="24"/>
          <w:rFonts w:cs="Times New Roman"/>
        </w:rPr>
        <w:fldChar w:fldCharType="end"/>
      </w:r>
      <w:r>
        <w:rPr>
          <w:rFonts w:cs="Times New Roman"/>
          <w:szCs w:val="24"/>
        </w:rPr>
        <w:t xml:space="preserve"> - DPC Method</w:t>
      </w:r>
      <w:bookmarkEnd w:id="85"/>
    </w:p>
    <w:p>
      <w:pPr>
        <w:pStyle w:val="Normal"/>
        <w:spacing w:lineRule="auto" w:line="360"/>
        <w:ind w:firstLine="720"/>
        <w:rPr>
          <w:rFonts w:cs="Times New Roman"/>
          <w:szCs w:val="24"/>
        </w:rPr>
      </w:pPr>
      <w:r>
        <w:rPr>
          <w:rFonts w:cs="Times New Roman"/>
          <w:szCs w:val="24"/>
        </w:rPr>
        <w:t>DPC represent the composition of all possible 400 pairs in the sequence with a fixed total attribute or feature of 400 based on the standard distribution of 20 amino acid residues (</w:t>
      </w:r>
      <w:r>
        <w:rPr>
          <w:rFonts w:cs="Times New Roman"/>
          <w:i/>
          <w:szCs w:val="24"/>
        </w:rPr>
        <w:t>n</w:t>
      </w:r>
      <w:r>
        <w:rPr>
          <w:rFonts w:cs="Times New Roman"/>
          <w:szCs w:val="24"/>
        </w:rPr>
        <w:t xml:space="preserve">) with </w:t>
      </w:r>
      <w:r>
        <w:rPr>
          <w:rFonts w:cs="Times New Roman"/>
          <w:i/>
          <w:szCs w:val="24"/>
        </w:rPr>
        <w:t>n</w:t>
      </w:r>
      <w:r>
        <w:rPr>
          <w:rFonts w:cs="Times New Roman"/>
          <w:szCs w:val="24"/>
        </w:rPr>
        <w:t>(</w:t>
      </w:r>
      <w:r>
        <w:rPr>
          <w:rFonts w:cs="Times New Roman"/>
          <w:i/>
          <w:szCs w:val="24"/>
        </w:rPr>
        <w:t>i</w:t>
      </w:r>
      <w:r>
        <w:rPr>
          <w:rFonts w:cs="Times New Roman"/>
          <w:szCs w:val="24"/>
        </w:rPr>
        <w:t>,</w:t>
      </w:r>
      <w:r>
        <w:rPr>
          <w:rFonts w:cs="Times New Roman"/>
          <w:i/>
          <w:szCs w:val="24"/>
        </w:rPr>
        <w:t>j</w:t>
      </w:r>
      <w:r>
        <w:rPr>
          <w:rFonts w:cs="Times New Roman"/>
          <w:szCs w:val="24"/>
        </w:rPr>
        <w:t>) vectors {x</w:t>
      </w:r>
      <w:r>
        <w:rPr>
          <w:rFonts w:cs="Times New Roman"/>
          <w:szCs w:val="24"/>
          <w:vertAlign w:val="subscript"/>
        </w:rPr>
        <w:t>i</w:t>
      </w:r>
      <w:r>
        <w:rPr>
          <w:rFonts w:cs="Times New Roman"/>
          <w:szCs w:val="24"/>
        </w:rPr>
        <w:t xml:space="preserve">, </w:t>
      </w:r>
      <w:r>
        <w:rPr>
          <w:rFonts w:cs="Times New Roman"/>
          <w:i/>
          <w:szCs w:val="24"/>
        </w:rPr>
        <w:t>i</w:t>
      </w:r>
      <w:r>
        <w:rPr>
          <w:rFonts w:cs="Times New Roman"/>
          <w:szCs w:val="24"/>
        </w:rPr>
        <w:t>=1, 2, ..........n} and {x</w:t>
      </w:r>
      <w:r>
        <w:rPr>
          <w:rFonts w:cs="Times New Roman"/>
          <w:szCs w:val="24"/>
          <w:vertAlign w:val="subscript"/>
        </w:rPr>
        <w:t>j</w:t>
      </w:r>
      <w:r>
        <w:rPr>
          <w:rFonts w:cs="Times New Roman"/>
          <w:szCs w:val="24"/>
        </w:rPr>
        <w:t xml:space="preserve">, </w:t>
      </w:r>
      <w:r>
        <w:rPr>
          <w:rFonts w:cs="Times New Roman"/>
          <w:i/>
          <w:szCs w:val="24"/>
        </w:rPr>
        <w:t>j</w:t>
      </w:r>
      <w:r>
        <w:rPr>
          <w:rFonts w:cs="Times New Roman"/>
          <w:szCs w:val="24"/>
        </w:rPr>
        <w:t xml:space="preserve">=1, 2, ..........n} at positions </w:t>
      </w:r>
      <w:r>
        <w:rPr>
          <w:rFonts w:cs="Times New Roman"/>
          <w:i/>
          <w:szCs w:val="24"/>
        </w:rPr>
        <w:t>i</w:t>
      </w:r>
      <w:r>
        <w:rPr>
          <w:rFonts w:cs="Times New Roman"/>
          <w:szCs w:val="24"/>
        </w:rPr>
        <w:t xml:space="preserve"> to </w:t>
      </w:r>
      <w:r>
        <w:rPr>
          <w:rFonts w:cs="Times New Roman"/>
          <w:i/>
          <w:szCs w:val="24"/>
        </w:rPr>
        <w:t>i</w:t>
      </w:r>
      <w:r>
        <w:rPr>
          <w:rFonts w:cs="Times New Roman"/>
          <w:szCs w:val="24"/>
        </w:rPr>
        <w:t xml:space="preserve">+1 and paired residue of type </w:t>
      </w:r>
      <w:r>
        <w:rPr>
          <w:rFonts w:cs="Times New Roman"/>
          <w:i/>
          <w:szCs w:val="24"/>
        </w:rPr>
        <w:t>i</w:t>
      </w:r>
      <w:r>
        <w:rPr>
          <w:rFonts w:cs="Times New Roman"/>
          <w:szCs w:val="24"/>
        </w:rPr>
        <w:t xml:space="preserve"> with residue of type </w:t>
      </w:r>
      <w:r>
        <w:rPr>
          <w:rFonts w:cs="Times New Roman"/>
          <w:i/>
          <w:szCs w:val="24"/>
        </w:rPr>
        <w:t>j</w:t>
      </w:r>
      <w:r>
        <w:rPr>
          <w:rFonts w:cs="Times New Roman"/>
          <w:szCs w:val="24"/>
        </w:rPr>
        <w:t>.</w:t>
      </w:r>
    </w:p>
    <w:p>
      <w:pPr>
        <w:pStyle w:val="Heading2"/>
        <w:rPr>
          <w:lang w:eastAsia="zh-TW"/>
        </w:rPr>
      </w:pPr>
      <w:bookmarkStart w:id="86" w:name="__RefHeading___Toc27384_277794404"/>
      <w:bookmarkStart w:id="87" w:name="_Toc455040211"/>
      <w:bookmarkEnd w:id="86"/>
      <w:r>
        <w:rPr>
          <w:lang w:eastAsia="zh-TW"/>
        </w:rPr>
        <w:t>3.7. Performance Evaluation</w:t>
      </w:r>
      <w:bookmarkEnd w:id="87"/>
    </w:p>
    <w:p>
      <w:pPr>
        <w:pStyle w:val="Normal"/>
        <w:spacing w:lineRule="auto" w:line="360"/>
        <w:ind w:firstLine="720"/>
        <w:rPr>
          <w:rFonts w:cs="Times New Roman"/>
          <w:szCs w:val="24"/>
        </w:rPr>
      </w:pPr>
      <w:r>
        <w:rPr>
          <w:rFonts w:cs="Times New Roman"/>
          <w:szCs w:val="24"/>
        </w:rPr>
        <w:t>Model Validation technique (Cross-validation or called rotation estimation) is a model to evaluate the performance of all classifiers via the five-fold cross validation. This process focuses to measure the performance evaluation or sometimes called assessment of predictive ability, divided datasets into five groups (subsets) with approximately equal size. The five-fold cross validation means that the process was repeated five times (</w:t>
      </w:r>
      <w:r>
        <w:rPr>
          <w:rFonts w:cs="Times New Roman"/>
          <w:i/>
          <w:szCs w:val="24"/>
        </w:rPr>
        <w:t>h</w:t>
      </w:r>
      <w:r>
        <w:rPr>
          <w:rFonts w:cs="Times New Roman"/>
          <w:szCs w:val="24"/>
        </w:rPr>
        <w:t xml:space="preserve">) where </w:t>
      </w:r>
      <w:r>
        <w:rPr>
          <w:rFonts w:cs="Times New Roman"/>
          <w:i/>
          <w:szCs w:val="24"/>
        </w:rPr>
        <w:t>h</w:t>
      </w:r>
      <w:r>
        <w:rPr>
          <w:rFonts w:cs="Times New Roman"/>
          <w:szCs w:val="24"/>
        </w:rPr>
        <w:t xml:space="preserve"> is the fold during cross validation process. At the </w:t>
      </w:r>
      <w:r>
        <w:rPr>
          <w:rFonts w:cs="Times New Roman"/>
          <w:i/>
          <w:szCs w:val="24"/>
        </w:rPr>
        <w:t>h</w:t>
      </w:r>
      <w:r>
        <w:rPr>
          <w:rFonts w:cs="Times New Roman"/>
          <w:szCs w:val="24"/>
        </w:rPr>
        <w:t xml:space="preserve">th fold, four subsets are used as training data and repeated five times and then one subset is used as the testing data and repeated five times. In case every subset will be tested as the testing data once. </w:t>
      </w:r>
    </w:p>
    <w:p>
      <w:pPr>
        <w:pStyle w:val="Normal"/>
        <w:spacing w:lineRule="auto" w:line="360"/>
        <w:ind w:firstLine="720"/>
        <w:rPr>
          <w:rFonts w:cs="Times New Roman"/>
          <w:szCs w:val="24"/>
        </w:rPr>
      </w:pPr>
      <w:r>
        <w:rPr>
          <w:rFonts w:cs="Times New Roman"/>
          <w:szCs w:val="24"/>
        </w:rPr>
        <w:t>There are some statistical measure of the performance evaluation to evaluate the result of all the classifiers (binary classification test) by measuring the sensitivity (true positive rate or recall), specificity (true negative rate), accuracy and Matthews’s correlation coefficient (MCC) for each class of efflux protein families. In general, TP is true positive or correctly identified, FP is false positive or incorrectly identified, TN is true negative or correctly rejected and FN is false negative or incorrectly rejected. Formulated as follows:</w:t>
      </w:r>
    </w:p>
    <w:p>
      <w:pPr>
        <w:pStyle w:val="Normal"/>
        <w:spacing w:lineRule="auto" w:line="360"/>
        <w:ind w:left="720" w:firstLine="720"/>
        <w:rPr>
          <w:rFonts w:cs="Times New Roman"/>
          <w:b/>
          <w:b/>
          <w:sz w:val="20"/>
          <w:szCs w:val="20"/>
        </w:rPr>
      </w:pPr>
      <w:r>
        <w:rPr/>
      </w:r>
      <m:oMath xmlns:m="http://schemas.openxmlformats.org/officeDocument/2006/math">
        <m:r>
          <w:rPr>
            <w:rFonts w:ascii="Cambria Math" w:hAnsi="Cambria Math"/>
          </w:rPr>
          <m:t xml:space="preserve">Sensitivity</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Normal"/>
        <w:spacing w:lineRule="auto" w:line="480"/>
        <w:rPr>
          <w:rFonts w:cs="Times New Roman"/>
          <w:szCs w:val="24"/>
        </w:rPr>
      </w:pPr>
      <w:r>
        <w:rPr>
          <w:rFonts w:cs="Times New Roman"/>
          <w:szCs w:val="24"/>
        </w:rPr>
        <w:t xml:space="preserve">Sensitivity is called true positive rate or recall measures the performance of positives data are correctly identified. </w:t>
      </w:r>
    </w:p>
    <w:p>
      <w:pPr>
        <w:pStyle w:val="Normal"/>
        <w:spacing w:lineRule="auto" w:line="360"/>
        <w:ind w:left="720" w:firstLine="720"/>
        <w:rPr>
          <w:rFonts w:cs="Times New Roman"/>
          <w:b/>
          <w:b/>
          <w:sz w:val="20"/>
          <w:szCs w:val="20"/>
        </w:rPr>
      </w:pPr>
      <w:r>
        <w:rPr/>
      </w:r>
      <m:oMath xmlns:m="http://schemas.openxmlformats.org/officeDocument/2006/math">
        <m:r>
          <w:rPr>
            <w:rFonts w:ascii="Cambria Math" w:hAnsi="Cambria Math"/>
          </w:rPr>
          <m:t xml:space="preserve">Specificity</m:t>
        </m:r>
        <m:r>
          <w:rPr>
            <w:rFonts w:ascii="Cambria Math" w:hAnsi="Cambria Math"/>
          </w:rPr>
          <m:t xml:space="preserve">=</m:t>
        </m:r>
        <m:f>
          <m:num>
            <m:r>
              <w:rPr>
                <w:rFonts w:ascii="Cambria Math" w:hAnsi="Cambria Math"/>
              </w:rPr>
              <m:t xml:space="preserve">TN</m:t>
            </m:r>
          </m:num>
          <m:den>
            <m:r>
              <w:rPr>
                <w:rFonts w:ascii="Cambria Math" w:hAnsi="Cambria Math"/>
              </w:rPr>
              <m:t xml:space="preserve">TN</m:t>
            </m:r>
            <m:r>
              <w:rPr>
                <w:rFonts w:ascii="Cambria Math" w:hAnsi="Cambria Math"/>
              </w:rPr>
              <m:t xml:space="preserve">+</m:t>
            </m:r>
            <m:r>
              <w:rPr>
                <w:rFonts w:ascii="Cambria Math" w:hAnsi="Cambria Math"/>
              </w:rPr>
              <m:t xml:space="preserve">FP</m:t>
            </m:r>
          </m:den>
        </m:f>
      </m:oMath>
    </w:p>
    <w:p>
      <w:pPr>
        <w:pStyle w:val="Normal"/>
        <w:spacing w:lineRule="auto" w:line="480"/>
        <w:rPr>
          <w:rFonts w:cs="Times New Roman"/>
          <w:szCs w:val="24"/>
        </w:rPr>
      </w:pPr>
      <w:r>
        <w:rPr>
          <w:rFonts w:cs="Times New Roman"/>
          <w:szCs w:val="24"/>
        </w:rPr>
        <w:t>Otherwise, to measure the proposition of negative rate the specificity formula is used during the prediction result and performance all classifiers.</w:t>
      </w:r>
    </w:p>
    <w:p>
      <w:pPr>
        <w:pStyle w:val="Normal"/>
        <w:spacing w:lineRule="auto" w:line="360"/>
        <w:ind w:left="720" w:firstLine="720"/>
        <w:rPr>
          <w:rFonts w:cs="Times New Roman"/>
          <w:b/>
          <w:b/>
          <w:sz w:val="20"/>
          <w:szCs w:val="20"/>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FN</m:t>
            </m:r>
          </m:den>
        </m:f>
      </m:oMath>
    </w:p>
    <w:p>
      <w:pPr>
        <w:pStyle w:val="Normal"/>
        <w:spacing w:lineRule="auto" w:line="480"/>
        <w:rPr>
          <w:rFonts w:cs="Times New Roman"/>
          <w:szCs w:val="24"/>
        </w:rPr>
      </w:pPr>
      <w:r>
        <w:rPr>
          <w:rFonts w:cs="Times New Roman"/>
          <w:szCs w:val="24"/>
        </w:rPr>
        <w:t>The accuracy formula measures the quality all classifiers with based on the true value or maximum predicted values compared with measurement results.</w:t>
      </w:r>
    </w:p>
    <w:p>
      <w:pPr>
        <w:pStyle w:val="Normal"/>
        <w:spacing w:lineRule="auto" w:line="480"/>
        <w:ind w:left="720" w:firstLine="720"/>
        <w:rPr>
          <w:rFonts w:cs="Times New Roman"/>
          <w:sz w:val="20"/>
          <w:szCs w:val="20"/>
          <w:lang w:eastAsia="zh-TW"/>
        </w:rPr>
      </w:pP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x</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x</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p>
    <w:p>
      <w:pPr>
        <w:pStyle w:val="Normal"/>
        <w:spacing w:lineRule="auto" w:line="360"/>
        <w:rPr>
          <w:rFonts w:cs="Times New Roman"/>
          <w:szCs w:val="24"/>
        </w:rPr>
      </w:pPr>
      <w:r>
        <w:rPr>
          <w:rFonts w:cs="Times New Roman"/>
          <w:szCs w:val="24"/>
          <w:lang w:eastAsia="zh-TW"/>
        </w:rPr>
        <w:t xml:space="preserve">Then </w:t>
      </w:r>
      <w:r>
        <w:rPr>
          <w:rFonts w:cs="Times New Roman"/>
          <w:szCs w:val="24"/>
        </w:rPr>
        <w:t>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pPr>
        <w:pStyle w:val="Normal"/>
        <w:spacing w:lineRule="auto" w:line="360"/>
        <w:rPr>
          <w:rFonts w:cs="Times New Roman"/>
          <w:szCs w:val="24"/>
        </w:rPr>
      </w:pPr>
      <w:r>
        <w:rPr>
          <w:rFonts w:cs="Times New Roman"/>
          <w:szCs w:val="24"/>
        </w:rPr>
      </w:r>
    </w:p>
    <w:p>
      <w:pPr>
        <w:pStyle w:val="Heading1"/>
        <w:jc w:val="left"/>
        <w:rPr>
          <w:rFonts w:eastAsia="宋体" w:cs="Times New Roman" w:eastAsiaTheme="minorEastAsia"/>
          <w:b w:val="false"/>
          <w:b w:val="false"/>
          <w:color w:val="00000A"/>
          <w:sz w:val="24"/>
          <w:szCs w:val="24"/>
        </w:rPr>
      </w:pPr>
      <w:r>
        <w:rPr>
          <w:rFonts w:eastAsia="宋体" w:cs="Times New Roman" w:eastAsiaTheme="minorEastAsia"/>
          <w:b w:val="false"/>
          <w:color w:val="00000A"/>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sz w:val="24"/>
          <w:szCs w:val="24"/>
        </w:rPr>
      </w:pPr>
      <w:bookmarkStart w:id="88" w:name="__RefHeading___Toc27386_277794404"/>
      <w:bookmarkStart w:id="89" w:name="_Toc455040212"/>
      <w:bookmarkEnd w:id="88"/>
      <w:r>
        <w:rPr>
          <w:lang w:eastAsia="zh-TW"/>
        </w:rPr>
        <w:t>Chapter 4</w:t>
        <w:br/>
        <w:t>Experimental Results</w:t>
      </w:r>
      <w:bookmarkEnd w:id="89"/>
    </w:p>
    <w:p>
      <w:pPr>
        <w:pStyle w:val="Normal"/>
        <w:spacing w:lineRule="auto" w:line="360"/>
        <w:ind w:firstLine="720"/>
        <w:rPr>
          <w:rFonts w:cs="Times New Roman"/>
          <w:szCs w:val="24"/>
        </w:rPr>
      </w:pPr>
      <w:r>
        <w:rPr>
          <w:rFonts w:cs="Times New Roman"/>
          <w:szCs w:val="24"/>
        </w:rPr>
      </w:r>
    </w:p>
    <w:p>
      <w:pPr>
        <w:pStyle w:val="Normal"/>
        <w:spacing w:lineRule="auto" w:line="360"/>
        <w:ind w:firstLine="720"/>
        <w:rPr>
          <w:rFonts w:cs="Times New Roman"/>
          <w:szCs w:val="24"/>
        </w:rPr>
      </w:pPr>
      <w:r>
        <w:rPr>
          <w:rFonts w:cs="Times New Roman"/>
          <w:szCs w:val="24"/>
        </w:rPr>
        <w:t>The quality and reliability of the modeling techniques of research is an important factor in the study. Initially we designed an experiment by analyzing data, perform calculations and take the highest order of AAindex value using F-score. In this part of experiment results, there are some analysis of data, the result of the discrimination process using the F-score and AAindex database, evaluation measures of feature sets and classifiers performance, four selected part of 100 amino acid sequences and some additional results.</w:t>
      </w:r>
    </w:p>
    <w:p>
      <w:pPr>
        <w:pStyle w:val="Heading2"/>
        <w:tabs>
          <w:tab w:val="left" w:pos="7560" w:leader="none"/>
        </w:tabs>
        <w:rPr>
          <w:rFonts w:cs="Times New Roman"/>
          <w:lang w:eastAsia="zh-TW"/>
        </w:rPr>
      </w:pPr>
      <w:bookmarkStart w:id="90" w:name="__RefHeading___Toc27388_277794404"/>
      <w:bookmarkStart w:id="91" w:name="_Toc455040213"/>
      <w:bookmarkEnd w:id="90"/>
      <w:r>
        <w:rPr>
          <w:rFonts w:cs="Times New Roman"/>
          <w:lang w:eastAsia="zh-TW"/>
        </w:rPr>
        <w:t>4.1. Analysis Data</w:t>
      </w:r>
      <w:bookmarkEnd w:id="91"/>
      <w:r>
        <w:rPr>
          <w:rFonts w:cs="Times New Roman"/>
          <w:lang w:eastAsia="zh-TW"/>
        </w:rPr>
        <w:tab/>
      </w:r>
    </w:p>
    <w:p>
      <w:pPr>
        <w:pStyle w:val="Heading3"/>
        <w:spacing w:lineRule="auto" w:line="360"/>
        <w:rPr>
          <w:rFonts w:cs="Times New Roman"/>
          <w:lang w:eastAsia="zh-TW"/>
        </w:rPr>
      </w:pPr>
      <w:bookmarkStart w:id="92" w:name="__RefHeading___Toc27390_277794404"/>
      <w:bookmarkStart w:id="93" w:name="_Toc455040214"/>
      <w:bookmarkEnd w:id="92"/>
      <w:r>
        <w:rPr>
          <w:rFonts w:cs="Times New Roman"/>
          <w:lang w:eastAsia="zh-TW"/>
        </w:rPr>
        <w:t>4.1.1. Comparison of Amino Acid Composition and F-score</w:t>
      </w:r>
      <w:bookmarkEnd w:id="93"/>
    </w:p>
    <w:p>
      <w:pPr>
        <w:pStyle w:val="Normal"/>
        <w:spacing w:lineRule="auto" w:line="360"/>
        <w:ind w:firstLine="720"/>
        <w:rPr>
          <w:rFonts w:cs="Times New Roman"/>
          <w:szCs w:val="24"/>
          <w:lang w:eastAsia="zh-TW"/>
        </w:rPr>
      </w:pPr>
      <w:r>
        <w:rPr>
          <w:rFonts w:cs="Times New Roman"/>
          <w:szCs w:val="24"/>
          <w:lang w:eastAsia="zh-TW"/>
        </w:rPr>
        <w:t>We have calculated amino acid composition in each family of efflux proteins and calculation results are shown in the Figure 18 below. Comparison among the three classes of efflux protein families showed that the amino acid residue incorporated in the group of hydrophobic dominant in the efflux proteins for each class. The analysis showed that the amino acid residues A (Ala, Alanine), L (Leu, Leucine), F (Phe, Phenylalanine), I (Ile, Isoleucine), G (Gly, Glycine) and T (Thr, Threonine) have the highest percentage composition. As we know that the hydrophobic effect has responsible for stability of cell membranes.</w:t>
      </w:r>
    </w:p>
    <w:p>
      <w:pPr>
        <w:pStyle w:val="Normal"/>
        <w:spacing w:lineRule="auto" w:line="240"/>
        <w:jc w:val="center"/>
        <w:rPr>
          <w:rFonts w:cs="Times New Roman"/>
          <w:color w:val="000000" w:themeColor="text1"/>
          <w:szCs w:val="24"/>
          <w:lang w:eastAsia="zh-TW"/>
        </w:rPr>
      </w:pPr>
      <w:r>
        <w:rPr/>
        <w:drawing>
          <wp:inline distT="0" distB="0" distL="0" distR="6350">
            <wp:extent cx="4318000" cy="231394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9"/>
                    <a:stretch>
                      <a:fillRect/>
                    </a:stretch>
                  </pic:blipFill>
                  <pic:spPr bwMode="auto">
                    <a:xfrm>
                      <a:off x="0" y="0"/>
                      <a:ext cx="4318000" cy="2313940"/>
                    </a:xfrm>
                    <a:prstGeom prst="rect">
                      <a:avLst/>
                    </a:prstGeom>
                  </pic:spPr>
                </pic:pic>
              </a:graphicData>
            </a:graphic>
          </wp:inline>
        </w:drawing>
      </w:r>
    </w:p>
    <w:p>
      <w:pPr>
        <w:pStyle w:val="Caption1"/>
        <w:rPr>
          <w:rFonts w:cs="Times New Roman"/>
          <w:szCs w:val="24"/>
          <w:lang w:eastAsia="zh-TW"/>
        </w:rPr>
      </w:pPr>
      <w:bookmarkStart w:id="94" w:name="_Toc454940955"/>
      <w:r>
        <w:rPr>
          <w:rFonts w:cs="Times New Roman"/>
          <w:b/>
          <w:szCs w:val="24"/>
          <w:lang w:eastAsia="zh-TW"/>
        </w:rPr>
        <w:t xml:space="preserve">Figure </w:t>
      </w:r>
      <w:r>
        <w:rPr>
          <w:rFonts w:cs="Times New Roman"/>
          <w:b/>
          <w:szCs w:val="24"/>
          <w:lang w:eastAsia="zh-TW"/>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12</w:t>
      </w:r>
      <w:r>
        <w:rPr>
          <w:b/>
          <w:szCs w:val="24"/>
          <w:rFonts w:cs="Times New Roman"/>
        </w:rPr>
        <w:fldChar w:fldCharType="end"/>
      </w:r>
      <w:r>
        <w:rPr>
          <w:rFonts w:cs="Times New Roman"/>
          <w:szCs w:val="24"/>
          <w:lang w:eastAsia="zh-TW"/>
        </w:rPr>
        <w:t xml:space="preserve"> - Amino Acid Composition in three classes of Efflux Proteins</w:t>
      </w:r>
      <w:bookmarkEnd w:id="94"/>
    </w:p>
    <w:p>
      <w:pPr>
        <w:pStyle w:val="Normal"/>
        <w:spacing w:lineRule="auto" w:line="240"/>
        <w:jc w:val="center"/>
        <w:rPr>
          <w:rFonts w:cs="Times New Roman"/>
          <w:szCs w:val="24"/>
        </w:rPr>
      </w:pPr>
      <w:r>
        <w:rPr/>
        <w:drawing>
          <wp:inline distT="0" distB="9525" distL="0" distR="0">
            <wp:extent cx="4314825" cy="223837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0"/>
                    <a:stretch>
                      <a:fillRect/>
                    </a:stretch>
                  </pic:blipFill>
                  <pic:spPr bwMode="auto">
                    <a:xfrm>
                      <a:off x="0" y="0"/>
                      <a:ext cx="4314825" cy="2238375"/>
                    </a:xfrm>
                    <a:prstGeom prst="rect">
                      <a:avLst/>
                    </a:prstGeom>
                  </pic:spPr>
                </pic:pic>
              </a:graphicData>
            </a:graphic>
          </wp:inline>
        </w:drawing>
      </w:r>
    </w:p>
    <w:p>
      <w:pPr>
        <w:pStyle w:val="Caption1"/>
        <w:rPr>
          <w:rFonts w:cs="Times New Roman"/>
          <w:szCs w:val="24"/>
        </w:rPr>
      </w:pPr>
      <w:bookmarkStart w:id="95" w:name="_Toc454940956"/>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13</w:t>
      </w:r>
      <w:r>
        <w:rPr>
          <w:b/>
          <w:szCs w:val="24"/>
          <w:rFonts w:cs="Times New Roman"/>
        </w:rPr>
        <w:fldChar w:fldCharType="end"/>
      </w:r>
      <w:r>
        <w:rPr>
          <w:rFonts w:cs="Times New Roman"/>
          <w:szCs w:val="24"/>
        </w:rPr>
        <w:t xml:space="preserve"> - Topmost F-Score in three classes Efflux Proteins of Amino Acid Composition</w:t>
      </w:r>
      <w:bookmarkEnd w:id="95"/>
    </w:p>
    <w:p>
      <w:pPr>
        <w:pStyle w:val="Normal"/>
        <w:spacing w:lineRule="auto" w:line="360"/>
        <w:ind w:firstLine="720"/>
        <w:rPr>
          <w:rFonts w:cs="Times New Roman"/>
          <w:color w:val="000000" w:themeColor="text1"/>
          <w:szCs w:val="24"/>
          <w:lang w:eastAsia="zh-TW"/>
        </w:rPr>
      </w:pPr>
      <w:r>
        <w:rPr>
          <w:rFonts w:cs="Times New Roman"/>
          <w:color w:val="000000" w:themeColor="text1"/>
          <w:szCs w:val="24"/>
          <w:lang w:eastAsia="zh-TW"/>
        </w:rPr>
        <w:t>The Figure 19 shows that the result of the 20 amino acid residues with the F-score on each class of efflux protein families based on their discrimination processes. The calculation results showed that the comparison among the three classes of efflux protein families with amino acid residues D (Asp, Aspartic acid), Q (Gln, Glutamine), F (Phe, Phenylalanine), S (Ser, Serine) and W (Trp, Tryptophan) have the highest F-score values.</w:t>
      </w:r>
    </w:p>
    <w:p>
      <w:pPr>
        <w:pStyle w:val="Normal"/>
        <w:rPr>
          <w:rFonts w:cs="Times New Roman"/>
          <w:szCs w:val="24"/>
        </w:rPr>
      </w:pPr>
      <w:r>
        <w:rPr>
          <w:rFonts w:cs="Times New Roman"/>
          <w:szCs w:val="24"/>
        </w:rPr>
      </w:r>
    </w:p>
    <w:p>
      <w:pPr>
        <w:pStyle w:val="Heading3"/>
        <w:spacing w:lineRule="auto" w:line="360"/>
        <w:rPr/>
      </w:pPr>
      <w:bookmarkStart w:id="96" w:name="__RefHeading___Toc27392_277794404"/>
      <w:bookmarkStart w:id="97" w:name="_Toc455040215"/>
      <w:bookmarkEnd w:id="96"/>
      <w:r>
        <w:rPr/>
        <w:t>4.1.2. Discrimination Class of Efflux Protein Families</w:t>
      </w:r>
      <w:bookmarkEnd w:id="97"/>
    </w:p>
    <w:p>
      <w:pPr>
        <w:pStyle w:val="Normal"/>
        <w:spacing w:lineRule="auto" w:line="360"/>
        <w:ind w:firstLine="720"/>
        <w:rPr>
          <w:rFonts w:cs="Times New Roman"/>
          <w:szCs w:val="24"/>
        </w:rPr>
      </w:pPr>
      <w:r>
        <w:rPr>
          <w:rFonts w:cs="Times New Roman"/>
          <w:szCs w:val="24"/>
        </w:rPr>
        <w:t xml:space="preserve">According to the basic assumptions that we have discussed in the previous chapter, the highest value of F-score can affect and improve the performance of the classification and prediction process. In this study, we have developed an application based on some basic methods that exists are consists of AAC, DPC, PSSM and AAindex. </w:t>
      </w:r>
    </w:p>
    <w:p>
      <w:pPr>
        <w:pStyle w:val="Caption1"/>
        <w:spacing w:lineRule="auto" w:line="360" w:before="0" w:after="0"/>
        <w:rPr>
          <w:rFonts w:cs="Times New Roman"/>
          <w:szCs w:val="24"/>
        </w:rPr>
      </w:pPr>
      <w:bookmarkStart w:id="98" w:name="_Toc454736517"/>
      <w:r>
        <w:rPr>
          <w:b/>
        </w:rPr>
        <w:t xml:space="preserve">Table </w:t>
      </w:r>
      <w:r>
        <w:rPr>
          <w:b/>
        </w:rPr>
        <w:fldChar w:fldCharType="begin"/>
      </w:r>
      <w:r>
        <w:rPr>
          <w:b/>
        </w:rPr>
        <w:instrText> SEQ Table \* ARABIC </w:instrText>
      </w:r>
      <w:r>
        <w:rPr>
          <w:b/>
        </w:rPr>
        <w:fldChar w:fldCharType="separate"/>
      </w:r>
      <w:r>
        <w:rPr>
          <w:b/>
        </w:rPr>
        <w:t>1</w:t>
      </w:r>
      <w:r>
        <w:rPr>
          <w:b/>
        </w:rPr>
        <w:fldChar w:fldCharType="end"/>
      </w:r>
      <w:r>
        <w:rPr/>
        <w:t xml:space="preserve"> </w:t>
      </w:r>
      <w:r>
        <w:rPr>
          <w:rFonts w:cs="Times New Roman"/>
          <w:szCs w:val="24"/>
        </w:rPr>
        <w:t>- Properties with 20 Topmost F-scores</w:t>
      </w:r>
      <w:bookmarkEnd w:id="98"/>
    </w:p>
    <w:tbl>
      <w:tblPr>
        <w:tblStyle w:val="TableGrid"/>
        <w:tblW w:w="7861" w:type="dxa"/>
        <w:jc w:val="center"/>
        <w:tblInd w:w="0" w:type="dxa"/>
        <w:tblCellMar>
          <w:top w:w="0" w:type="dxa"/>
          <w:left w:w="108" w:type="dxa"/>
          <w:bottom w:w="0" w:type="dxa"/>
          <w:right w:w="108" w:type="dxa"/>
        </w:tblCellMar>
        <w:tblLook w:firstRow="1" w:noVBand="1" w:lastRow="0" w:firstColumn="1" w:lastColumn="0" w:noHBand="0" w:val="04a0"/>
      </w:tblPr>
      <w:tblGrid>
        <w:gridCol w:w="887"/>
        <w:gridCol w:w="736"/>
        <w:gridCol w:w="1379"/>
        <w:gridCol w:w="709"/>
        <w:gridCol w:w="1185"/>
        <w:gridCol w:w="1572"/>
        <w:gridCol w:w="1392"/>
      </w:tblGrid>
      <w:tr>
        <w:trPr/>
        <w:tc>
          <w:tcPr>
            <w:tcW w:w="887"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Data</w:t>
            </w:r>
          </w:p>
        </w:tc>
        <w:tc>
          <w:tcPr>
            <w:tcW w:w="736"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AAC</w:t>
            </w:r>
          </w:p>
        </w:tc>
        <w:tc>
          <w:tcPr>
            <w:tcW w:w="1379"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F-score</w:t>
            </w:r>
          </w:p>
        </w:tc>
        <w:tc>
          <w:tcPr>
            <w:tcW w:w="709"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DPC</w:t>
            </w:r>
          </w:p>
        </w:tc>
        <w:tc>
          <w:tcPr>
            <w:tcW w:w="1185"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F-score</w:t>
            </w:r>
          </w:p>
        </w:tc>
        <w:tc>
          <w:tcPr>
            <w:tcW w:w="1572"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AAindex</w:t>
            </w:r>
          </w:p>
        </w:tc>
        <w:tc>
          <w:tcPr>
            <w:tcW w:w="1392"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F-score</w:t>
            </w:r>
          </w:p>
        </w:tc>
      </w:tr>
      <w:tr>
        <w:trPr/>
        <w:tc>
          <w:tcPr>
            <w:tcW w:w="887" w:type="dxa"/>
            <w:vMerge w:val="restart"/>
            <w:tcBorders>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cs="Times New Roman"/>
                <w:b/>
                <w:b/>
                <w:sz w:val="20"/>
                <w:szCs w:val="20"/>
              </w:rPr>
            </w:pPr>
            <w:r>
              <w:rPr>
                <w:rFonts w:cs="Times New Roman"/>
                <w:b/>
                <w:kern w:val="2"/>
                <w:sz w:val="20"/>
                <w:szCs w:val="20"/>
                <w:lang w:eastAsia="zh-TW"/>
              </w:rPr>
              <w:t>Class 1</w:t>
            </w:r>
          </w:p>
        </w:tc>
        <w:tc>
          <w:tcPr>
            <w:tcW w:w="736" w:type="dxa"/>
            <w:tcBorders>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D</w:t>
            </w:r>
          </w:p>
        </w:tc>
        <w:tc>
          <w:tcPr>
            <w:tcW w:w="1379" w:type="dxa"/>
            <w:tcBorders>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0.153830272</w:t>
            </w:r>
          </w:p>
        </w:tc>
        <w:tc>
          <w:tcPr>
            <w:tcW w:w="709" w:type="dxa"/>
            <w:tcBorders>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LG</w:t>
            </w:r>
          </w:p>
        </w:tc>
        <w:tc>
          <w:tcPr>
            <w:tcW w:w="1185" w:type="dxa"/>
            <w:tcBorders>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0.092467</w:t>
            </w:r>
          </w:p>
        </w:tc>
        <w:tc>
          <w:tcPr>
            <w:tcW w:w="1572" w:type="dxa"/>
            <w:tcBorders>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VASM830101</w:t>
            </w:r>
          </w:p>
        </w:tc>
        <w:tc>
          <w:tcPr>
            <w:tcW w:w="1392" w:type="dxa"/>
            <w:tcBorders>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0.342460827</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S</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0.123967169</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FS</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0.07759</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AURR980111</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0.22854235</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F</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0.109229585</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EL</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0.062131</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WERD780104</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0.219960606</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Q</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0.093912596</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VD</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0.054756</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AURR980106</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0.219906999</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E</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0.077673037</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SF</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0.05429</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FUKS010104</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0.213159864</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K</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0.070493764</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DL</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0.052628</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AURR980119</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0.211508336</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W</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0.055727168</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LK</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0.043973</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PRAM900101</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0.203872806</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G</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0.051010787</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FA</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0.03742</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JANJ780101</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0.197629038</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R</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0.027998897</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VG</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0.03185</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FUKS010101</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0.196095873</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N</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0.023317775</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YC</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0.027605</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JANJ780103</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0.195883979</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Y</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0.019866677</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LS</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0.02725</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JACR890101</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0.195326358</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M</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0.00583414</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GL</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0.027161</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KRIW790102</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0.194565114</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P</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0.004370169</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GI</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0.027033</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FUKS010102</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0.192749547</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C</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0.003712644</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CT</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0.024858</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EISD860102</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0.191356573</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T</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0.003166464</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CY</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0.023834</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ZIMJ680103</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0.189555749</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L</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0.002978217</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HF</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0.022694</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RICJ880116</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0.189099037</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H</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0.001187766</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WR</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0.022673</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DESM900102</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0.186099746</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I</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0.001028847</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DH</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0.022406</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WOLS870103</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0.180035419</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A</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5.06E-04</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KL</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0.022097</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PARS000102</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0.178836994</w:t>
            </w:r>
          </w:p>
        </w:tc>
      </w:tr>
      <w:tr>
        <w:trPr/>
        <w:tc>
          <w:tcPr>
            <w:tcW w:w="88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V</w:t>
            </w:r>
          </w:p>
        </w:tc>
        <w:tc>
          <w:tcPr>
            <w:tcW w:w="137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4.48E-04</w:t>
            </w:r>
          </w:p>
        </w:tc>
        <w:tc>
          <w:tcPr>
            <w:tcW w:w="709"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CI</w:t>
            </w:r>
          </w:p>
        </w:tc>
        <w:tc>
          <w:tcPr>
            <w:tcW w:w="1185" w:type="dxa"/>
            <w:tcBorders>
              <w:top w:val="nil"/>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0.021872</w:t>
            </w:r>
          </w:p>
        </w:tc>
        <w:tc>
          <w:tcPr>
            <w:tcW w:w="157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KRIW790101</w:t>
            </w:r>
          </w:p>
        </w:tc>
        <w:tc>
          <w:tcPr>
            <w:tcW w:w="1392"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0.174803732</w:t>
            </w:r>
          </w:p>
        </w:tc>
      </w:tr>
      <w:tr>
        <w:trPr/>
        <w:tc>
          <w:tcPr>
            <w:tcW w:w="887" w:type="dxa"/>
            <w:vMerge w:val="restart"/>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cs="Times New Roman"/>
                <w:b/>
                <w:b/>
                <w:sz w:val="20"/>
                <w:szCs w:val="20"/>
              </w:rPr>
            </w:pPr>
            <w:r>
              <w:rPr>
                <w:rFonts w:cs="Times New Roman"/>
                <w:b/>
                <w:kern w:val="2"/>
                <w:sz w:val="20"/>
                <w:szCs w:val="20"/>
                <w:lang w:eastAsia="zh-TW"/>
              </w:rPr>
              <w:t>Class 2</w:t>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Q</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0.194339689</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EL</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0.121524</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GARJ730101</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0.296978111</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W</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0.180801037</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IN</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0.105931</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WIMW960101</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0.274329375</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F</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0.139676437</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ME</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0.071774</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OOBM850102</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0.243505547</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Y</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0.078336876</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NM</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0.068806</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NOZY710101</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0.227153082</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E</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0.077323192</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EC</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0.066316</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MEEJ800101</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0.220987127</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I</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0.068189605</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YY</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0.065148</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ZASB820101</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0.220362644</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G</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0.06590512</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TN</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0.063755</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RICJ880113</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0.217285247</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D</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0.049062904</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SF</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0.063608</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MEEJ800102</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0.210276678</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A</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0.035986845</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QN</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0.061706</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MEEJ810102</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0.206647342</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M</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0.035401329</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PH</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0.060822</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OOBM770103</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0.204857174</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P</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0.023160172</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NW</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0.059808</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ZHOH040101</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0.193541368</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R</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0.018302756</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VD</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0.058974</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LEVM760107</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0.192850155</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H</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0.017830655</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PI</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0.05885</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NADH010105</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0.19279994</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L</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0.017367719</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NA</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0.058808</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MEEJ810101</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0.191013455</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V</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0.008770915</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VK</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0.058634</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NAKH900104</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0.188007988</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K</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0.006160297</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QG</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0.057652</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MEIH800103</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0.187925774</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S</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0.004335699</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YE</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0.057538</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VASM830101</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0.187675516</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N</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0.002045797</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WI</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0.057488</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RADA880102</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0.18691035</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C</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0.00110357</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YQ</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0.057483</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AURR980107</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0.184972275</w:t>
            </w:r>
          </w:p>
        </w:tc>
      </w:tr>
      <w:tr>
        <w:trPr/>
        <w:tc>
          <w:tcPr>
            <w:tcW w:w="88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6"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T</w:t>
            </w:r>
          </w:p>
        </w:tc>
        <w:tc>
          <w:tcPr>
            <w:tcW w:w="137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8.22E-04</w:t>
            </w:r>
          </w:p>
        </w:tc>
        <w:tc>
          <w:tcPr>
            <w:tcW w:w="709"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IK</w:t>
            </w:r>
          </w:p>
        </w:tc>
        <w:tc>
          <w:tcPr>
            <w:tcW w:w="1185" w:type="dxa"/>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0.054686</w:t>
            </w:r>
          </w:p>
        </w:tc>
        <w:tc>
          <w:tcPr>
            <w:tcW w:w="157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ROBB790101</w:t>
            </w:r>
          </w:p>
        </w:tc>
        <w:tc>
          <w:tcPr>
            <w:tcW w:w="1392"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0.184374374</w:t>
            </w:r>
          </w:p>
        </w:tc>
      </w:tr>
      <w:tr>
        <w:trPr/>
        <w:tc>
          <w:tcPr>
            <w:tcW w:w="887" w:type="dxa"/>
            <w:vMerge w:val="restart"/>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cs="Times New Roman"/>
                <w:b/>
                <w:b/>
                <w:sz w:val="20"/>
                <w:szCs w:val="20"/>
              </w:rPr>
            </w:pPr>
            <w:r>
              <w:rPr>
                <w:rFonts w:cs="Times New Roman"/>
                <w:b/>
                <w:kern w:val="2"/>
                <w:sz w:val="20"/>
                <w:szCs w:val="20"/>
                <w:lang w:eastAsia="zh-TW"/>
              </w:rPr>
              <w:t>Class 3</w:t>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D</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0.08398</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LG</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0.063926</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VASM830101</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0.150822796</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S</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0.081104</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FS</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0.047984</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WOLS870103</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0.105607418</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K</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0.047507</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LK</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0.046608</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WERD780104</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0.099871764</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F</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0.040744</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FA</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0.027686</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RACS820112</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0.099512295</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E</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0.026389</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VD</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0.026586</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EISD860102</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0.094805553</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G</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0.021524</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KL</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0.024796</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AURR980119</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0.093718211</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Q</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0.019758</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DL</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0.023175</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AURR980106</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0.088546859</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N</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0.016811</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SF</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0.021104</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JANJ780101</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0.087616886</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W</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0.012807</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QP</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0.019899</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AURR980111</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0.086799187</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R</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0.00665</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YC</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0.018331</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JANJ780103</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0.086797855</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H</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0.004358</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CC</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0.01636</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FUKS010101</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0.083930301</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C</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0.00381</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WN</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0.01553</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AURR980101</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0.082480464</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Y</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0.002372</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GI</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0.015441</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PRAM900101</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0.082064889</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L</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0.001334</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CF</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0.014788</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FUKS010104</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0.08154551</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P</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0.001325</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LS</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0.013744</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RACS820103</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0.081386685</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V</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0.001076</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TC</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0.013229</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ZIMJ680103</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0.081298788</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T</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0.001032</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VM</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0.012695</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PARS000102</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0.07919487</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A</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0.001031</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GL</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0.012409</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HOPA770101</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0.075894642</w:t>
            </w:r>
          </w:p>
        </w:tc>
      </w:tr>
      <w:tr>
        <w:trPr/>
        <w:tc>
          <w:tcPr>
            <w:tcW w:w="88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I</w:t>
            </w:r>
          </w:p>
        </w:tc>
        <w:tc>
          <w:tcPr>
            <w:tcW w:w="137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7.85E-04</w:t>
            </w:r>
          </w:p>
        </w:tc>
        <w:tc>
          <w:tcPr>
            <w:tcW w:w="709"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SA</w:t>
            </w:r>
          </w:p>
        </w:tc>
        <w:tc>
          <w:tcPr>
            <w:tcW w:w="1185" w:type="dxa"/>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0.012043</w:t>
            </w:r>
          </w:p>
        </w:tc>
        <w:tc>
          <w:tcPr>
            <w:tcW w:w="157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DESM900102</w:t>
            </w:r>
          </w:p>
        </w:tc>
        <w:tc>
          <w:tcPr>
            <w:tcW w:w="1392"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0.0757959</w:t>
            </w:r>
          </w:p>
        </w:tc>
      </w:tr>
      <w:tr>
        <w:trPr/>
        <w:tc>
          <w:tcPr>
            <w:tcW w:w="887" w:type="dxa"/>
            <w:vMerge w:val="continue"/>
            <w:tcBorders>
              <w:top w:val="nil"/>
              <w:left w:val="nil"/>
              <w:right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6" w:type="dxa"/>
            <w:tcBorders>
              <w:top w:val="nil"/>
              <w:left w:val="nil"/>
              <w:right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bCs/>
                <w:color w:val="000000"/>
                <w:sz w:val="14"/>
                <w:szCs w:val="16"/>
              </w:rPr>
            </w:pPr>
            <w:r>
              <w:rPr>
                <w:rFonts w:cs="Calibri" w:ascii="Calibri" w:hAnsi="Calibri"/>
                <w:b/>
                <w:bCs/>
                <w:color w:val="000000"/>
                <w:kern w:val="2"/>
                <w:sz w:val="14"/>
                <w:szCs w:val="16"/>
                <w:lang w:eastAsia="zh-TW"/>
              </w:rPr>
              <w:t>M</w:t>
            </w:r>
          </w:p>
        </w:tc>
        <w:tc>
          <w:tcPr>
            <w:tcW w:w="1379" w:type="dxa"/>
            <w:tcBorders>
              <w:top w:val="nil"/>
              <w:left w:val="nil"/>
              <w:right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2.38E-04</w:t>
            </w:r>
          </w:p>
        </w:tc>
        <w:tc>
          <w:tcPr>
            <w:tcW w:w="709" w:type="dxa"/>
            <w:tcBorders>
              <w:top w:val="nil"/>
              <w:left w:val="nil"/>
              <w:right w:val="nil"/>
              <w:insideV w:val="nil"/>
            </w:tcBorders>
            <w:shd w:color="auto" w:fill="E2EFD9" w:themeFill="accent6" w:themeFillTint="33" w:val="clear"/>
            <w:vAlign w:val="center"/>
          </w:tcPr>
          <w:p>
            <w:pPr>
              <w:pStyle w:val="Normal"/>
              <w:spacing w:lineRule="auto" w:line="240" w:before="0" w:after="0"/>
              <w:jc w:val="center"/>
              <w:rPr>
                <w:rFonts w:ascii="Calibri" w:hAnsi="Calibri" w:cs="Calibri"/>
                <w:b/>
                <w:b/>
                <w:color w:val="000000"/>
                <w:sz w:val="14"/>
                <w:szCs w:val="16"/>
              </w:rPr>
            </w:pPr>
            <w:r>
              <w:rPr>
                <w:rFonts w:cs="Calibri" w:ascii="Calibri" w:hAnsi="Calibri"/>
                <w:b/>
                <w:color w:val="000000"/>
                <w:kern w:val="2"/>
                <w:sz w:val="14"/>
                <w:szCs w:val="16"/>
                <w:lang w:eastAsia="zh-TW"/>
              </w:rPr>
              <w:t>TL</w:t>
            </w:r>
          </w:p>
        </w:tc>
        <w:tc>
          <w:tcPr>
            <w:tcW w:w="1185" w:type="dxa"/>
            <w:tcBorders>
              <w:top w:val="nil"/>
              <w:left w:val="nil"/>
              <w:right w:val="nil"/>
              <w:insideV w:val="nil"/>
            </w:tcBorders>
            <w:shd w:color="auto" w:fill="E2EFD9" w:themeFill="accent6" w:themeFillTint="33" w:val="clear"/>
            <w:vAlign w:val="center"/>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0.011806</w:t>
            </w:r>
          </w:p>
        </w:tc>
        <w:tc>
          <w:tcPr>
            <w:tcW w:w="1572" w:type="dxa"/>
            <w:tcBorders>
              <w:top w:val="nil"/>
              <w:left w:val="nil"/>
              <w:right w:val="nil"/>
              <w:insideV w:val="nil"/>
            </w:tcBorders>
            <w:shd w:color="auto" w:fill="E2EFD9" w:themeFill="accent6" w:themeFillTint="33" w:val="clear"/>
            <w:vAlign w:val="bottom"/>
          </w:tcPr>
          <w:p>
            <w:pPr>
              <w:pStyle w:val="Normal"/>
              <w:spacing w:lineRule="auto" w:line="240" w:before="0" w:after="0"/>
              <w:rPr>
                <w:rFonts w:ascii="Calibri" w:hAnsi="Calibri" w:cs="Calibri"/>
                <w:b/>
                <w:b/>
                <w:color w:val="000000"/>
                <w:sz w:val="14"/>
                <w:szCs w:val="16"/>
              </w:rPr>
            </w:pPr>
            <w:r>
              <w:rPr>
                <w:rFonts w:cs="Calibri" w:ascii="Calibri" w:hAnsi="Calibri"/>
                <w:b/>
                <w:color w:val="000000"/>
                <w:kern w:val="2"/>
                <w:sz w:val="14"/>
                <w:szCs w:val="16"/>
                <w:lang w:eastAsia="zh-TW"/>
              </w:rPr>
              <w:t>JACR890101</w:t>
            </w:r>
          </w:p>
        </w:tc>
        <w:tc>
          <w:tcPr>
            <w:tcW w:w="1392" w:type="dxa"/>
            <w:tcBorders>
              <w:top w:val="nil"/>
              <w:left w:val="nil"/>
              <w:right w:val="nil"/>
              <w:insideV w:val="nil"/>
            </w:tcBorders>
            <w:shd w:color="auto" w:fill="E2EFD9" w:themeFill="accent6" w:themeFillTint="33" w:val="clear"/>
            <w:vAlign w:val="bottom"/>
          </w:tcPr>
          <w:p>
            <w:pPr>
              <w:pStyle w:val="Normal"/>
              <w:spacing w:lineRule="auto" w:line="240" w:before="0" w:after="0"/>
              <w:jc w:val="center"/>
              <w:rPr>
                <w:rFonts w:ascii="Calibri" w:hAnsi="Calibri" w:cs="Calibri"/>
                <w:color w:val="000000"/>
                <w:sz w:val="14"/>
                <w:szCs w:val="16"/>
              </w:rPr>
            </w:pPr>
            <w:r>
              <w:rPr>
                <w:rFonts w:cs="Calibri" w:ascii="Calibri" w:hAnsi="Calibri"/>
                <w:color w:val="000000"/>
                <w:kern w:val="2"/>
                <w:sz w:val="14"/>
                <w:szCs w:val="16"/>
                <w:lang w:eastAsia="zh-TW"/>
              </w:rPr>
              <w:t>0.075440664</w:t>
            </w:r>
          </w:p>
        </w:tc>
      </w:tr>
    </w:tbl>
    <w:p>
      <w:pPr>
        <w:pStyle w:val="Normal"/>
        <w:spacing w:lineRule="auto" w:line="360"/>
        <w:rPr>
          <w:rFonts w:cs="Times New Roman"/>
          <w:szCs w:val="24"/>
        </w:rPr>
      </w:pPr>
      <w:r>
        <w:rPr>
          <w:rFonts w:cs="Times New Roman"/>
          <w:szCs w:val="24"/>
        </w:rPr>
      </w:r>
    </w:p>
    <w:p>
      <w:pPr>
        <w:pStyle w:val="Normal"/>
        <w:spacing w:lineRule="auto" w:line="360"/>
        <w:ind w:firstLine="720"/>
        <w:rPr>
          <w:rFonts w:cs="Times New Roman"/>
          <w:szCs w:val="24"/>
        </w:rPr>
      </w:pPr>
      <w:r>
        <w:rPr>
          <w:rFonts w:cs="Times New Roman"/>
          <w:szCs w:val="24"/>
        </w:rPr>
        <w:t>Table 6 shows the 20 topmost F-score with the comparison between AAC, DPC and AAindex. Following three features sets in the table, comparison of methods based on each feature in the dataset with high F-scores. For this analysis, we also try to compare 20 selection values of F-score and Relief. From both tables can be seen the comparison value of AAC, DPC and AAindex with F-score have high values for each class of efflux protein families.</w:t>
      </w:r>
      <w:bookmarkStart w:id="99" w:name="_GoBack"/>
      <w:bookmarkEnd w:id="99"/>
    </w:p>
    <w:p>
      <w:pPr>
        <w:pStyle w:val="Caption1"/>
        <w:spacing w:lineRule="auto" w:line="360" w:before="0" w:after="0"/>
        <w:rPr>
          <w:rFonts w:cs="Times New Roman"/>
          <w:szCs w:val="24"/>
        </w:rPr>
      </w:pPr>
      <w:r>
        <w:rPr>
          <w:b/>
        </w:rPr>
        <w:t xml:space="preserve">Table </w:t>
      </w:r>
      <w:r>
        <w:rPr>
          <w:b/>
        </w:rPr>
        <w:fldChar w:fldCharType="begin"/>
      </w:r>
      <w:r>
        <w:rPr>
          <w:b/>
        </w:rPr>
        <w:instrText> SEQ Table \* ARABIC </w:instrText>
      </w:r>
      <w:r>
        <w:rPr>
          <w:b/>
        </w:rPr>
        <w:fldChar w:fldCharType="separate"/>
      </w:r>
      <w:r>
        <w:rPr>
          <w:b/>
        </w:rPr>
        <w:t>2</w:t>
      </w:r>
      <w:r>
        <w:rPr>
          <w:b/>
        </w:rPr>
        <w:fldChar w:fldCharType="end"/>
      </w:r>
      <w:r>
        <w:rPr>
          <w:b/>
        </w:rPr>
        <w:t xml:space="preserve"> </w:t>
      </w:r>
      <w:r>
        <w:rPr>
          <w:rFonts w:cs="Times New Roman"/>
          <w:b/>
          <w:szCs w:val="24"/>
        </w:rPr>
        <w:t>-</w:t>
      </w:r>
      <w:r>
        <w:rPr>
          <w:rFonts w:cs="Times New Roman"/>
          <w:szCs w:val="24"/>
        </w:rPr>
        <w:t xml:space="preserve"> Properties with 20 Topmost Relief Values</w:t>
      </w:r>
    </w:p>
    <w:tbl>
      <w:tblPr>
        <w:tblStyle w:val="TableGrid"/>
        <w:tblW w:w="7969" w:type="dxa"/>
        <w:jc w:val="center"/>
        <w:tblInd w:w="0" w:type="dxa"/>
        <w:tblCellMar>
          <w:top w:w="0" w:type="dxa"/>
          <w:left w:w="108" w:type="dxa"/>
          <w:bottom w:w="0" w:type="dxa"/>
          <w:right w:w="108" w:type="dxa"/>
        </w:tblCellMar>
        <w:tblLook w:firstRow="1" w:noVBand="1" w:lastRow="0" w:firstColumn="1" w:lastColumn="0" w:noHBand="0" w:val="04a0"/>
      </w:tblPr>
      <w:tblGrid>
        <w:gridCol w:w="827"/>
        <w:gridCol w:w="735"/>
        <w:gridCol w:w="1379"/>
        <w:gridCol w:w="710"/>
        <w:gridCol w:w="1387"/>
        <w:gridCol w:w="1573"/>
        <w:gridCol w:w="1357"/>
      </w:tblGrid>
      <w:tr>
        <w:trPr/>
        <w:tc>
          <w:tcPr>
            <w:tcW w:w="827"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Data</w:t>
            </w:r>
          </w:p>
        </w:tc>
        <w:tc>
          <w:tcPr>
            <w:tcW w:w="735"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AAC</w:t>
            </w:r>
          </w:p>
        </w:tc>
        <w:tc>
          <w:tcPr>
            <w:tcW w:w="1379"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Relief</w:t>
            </w:r>
          </w:p>
        </w:tc>
        <w:tc>
          <w:tcPr>
            <w:tcW w:w="710"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DPC</w:t>
            </w:r>
          </w:p>
        </w:tc>
        <w:tc>
          <w:tcPr>
            <w:tcW w:w="1387"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Relief</w:t>
            </w:r>
          </w:p>
        </w:tc>
        <w:tc>
          <w:tcPr>
            <w:tcW w:w="1573"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AAindex</w:t>
            </w:r>
          </w:p>
        </w:tc>
        <w:tc>
          <w:tcPr>
            <w:tcW w:w="1357" w:type="dxa"/>
            <w:tcBorders>
              <w:left w:val="nil"/>
              <w:right w:val="nil"/>
              <w:insideV w:val="nil"/>
            </w:tcBorders>
            <w:shd w:fill="auto" w:val="clear"/>
          </w:tcPr>
          <w:p>
            <w:pPr>
              <w:pStyle w:val="Normal"/>
              <w:spacing w:lineRule="auto" w:line="240" w:before="0" w:after="0"/>
              <w:jc w:val="center"/>
              <w:rPr>
                <w:rFonts w:cs="Times New Roman"/>
                <w:b/>
                <w:b/>
                <w:szCs w:val="24"/>
              </w:rPr>
            </w:pPr>
            <w:r>
              <w:rPr>
                <w:rFonts w:cs="Times New Roman"/>
                <w:b/>
                <w:kern w:val="2"/>
                <w:szCs w:val="24"/>
                <w:lang w:eastAsia="zh-TW"/>
              </w:rPr>
              <w:t>Relief</w:t>
            </w:r>
          </w:p>
        </w:tc>
      </w:tr>
      <w:tr>
        <w:trPr/>
        <w:tc>
          <w:tcPr>
            <w:tcW w:w="827" w:type="dxa"/>
            <w:vMerge w:val="restart"/>
            <w:tcBorders>
              <w:left w:val="nil"/>
              <w:bottom w:val="nil"/>
              <w:right w:val="nil"/>
              <w:insideH w:val="nil"/>
              <w:insideV w:val="nil"/>
            </w:tcBorders>
            <w:shd w:color="auto" w:fill="D0CECE" w:themeFill="background2" w:themeFillShade="e6" w:val="clear"/>
            <w:vAlign w:val="center"/>
          </w:tcPr>
          <w:p>
            <w:pPr>
              <w:pStyle w:val="Normal"/>
              <w:spacing w:lineRule="auto" w:line="240" w:before="0" w:after="0"/>
              <w:jc w:val="center"/>
              <w:rPr>
                <w:rFonts w:cs="Times New Roman"/>
                <w:b/>
                <w:b/>
                <w:sz w:val="20"/>
                <w:szCs w:val="20"/>
              </w:rPr>
            </w:pPr>
            <w:r>
              <w:rPr>
                <w:rFonts w:cs="Times New Roman"/>
                <w:b/>
                <w:kern w:val="2"/>
                <w:sz w:val="20"/>
                <w:szCs w:val="20"/>
                <w:lang w:eastAsia="zh-TW"/>
              </w:rPr>
              <w:t>Class 1</w:t>
            </w:r>
          </w:p>
        </w:tc>
        <w:tc>
          <w:tcPr>
            <w:tcW w:w="735" w:type="dxa"/>
            <w:tcBorders>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w:t>
            </w:r>
          </w:p>
        </w:tc>
        <w:tc>
          <w:tcPr>
            <w:tcW w:w="1379" w:type="dxa"/>
            <w:tcBorders>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0.032098</w:t>
            </w:r>
          </w:p>
        </w:tc>
        <w:tc>
          <w:tcPr>
            <w:tcW w:w="710" w:type="dxa"/>
            <w:tcBorders>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KL</w:t>
            </w:r>
          </w:p>
        </w:tc>
        <w:tc>
          <w:tcPr>
            <w:tcW w:w="1387" w:type="dxa"/>
            <w:tcBorders>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0.024790913</w:t>
            </w:r>
          </w:p>
        </w:tc>
        <w:tc>
          <w:tcPr>
            <w:tcW w:w="1573" w:type="dxa"/>
            <w:tcBorders>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WOLS870103</w:t>
            </w:r>
          </w:p>
        </w:tc>
        <w:tc>
          <w:tcPr>
            <w:tcW w:w="1357" w:type="dxa"/>
            <w:tcBorders>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0.051719</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F</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0.030024</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LG</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0.02223649</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QIAN880130</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0.04049</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D</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0.027727</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DL</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0.020956432</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RACS820107</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0.040212</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0.026185</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EL</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0.019333394</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VASM830101</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0.039782</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0.024528</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EE</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0.019122893</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QIAN880123</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0.0343</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0.020851</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FS</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0.018879444</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WILM950103</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0.033576</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Q</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0.020605</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FA</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0.018500109</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GRAR740101</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0.03207</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0.018353</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TS</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0.018472085</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QIAN880124</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0.031686</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K</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0.017845</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LS</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0.0183752</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RACS820112</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0.031446</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0.016679</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SD</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0.017305715</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ROBB760111</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0.030883</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0.014917</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LL</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0.017032199</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AURR980112</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0.030266</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P</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0.013246</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IV</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0.017016814</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AURR980108</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0.029503</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H</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0.013214</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GI</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0.016768994</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CHOP780215</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0.029447</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0.012145</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SI</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0.016171962</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AURR980111</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0.029396</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Y</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0.011191</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GL</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0.016022148</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RACS820104</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0.028851</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N</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0.01014</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SA</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0.015406488</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QIAN880106</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0.028438</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V</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0.009527</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SF</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0.014266703</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AURR980115</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0.028121</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M</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0.008735</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LT</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0.013356162</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AURR980110</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0.027491</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0.008532</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AG</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0.013328137</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JACR890101</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0.027404</w:t>
            </w:r>
          </w:p>
        </w:tc>
      </w:tr>
      <w:tr>
        <w:trPr/>
        <w:tc>
          <w:tcPr>
            <w:tcW w:w="827" w:type="dxa"/>
            <w:vMerge w:val="continue"/>
            <w:tcBorders>
              <w:top w:val="nil"/>
              <w:left w:val="nil"/>
              <w:bottom w:val="nil"/>
              <w:right w:val="nil"/>
              <w:insideH w:val="nil"/>
              <w:insideV w:val="nil"/>
            </w:tcBorders>
            <w:shd w:color="auto" w:fill="D0CECE" w:themeFill="background2" w:themeFillShade="e6"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C</w:t>
            </w:r>
          </w:p>
        </w:tc>
        <w:tc>
          <w:tcPr>
            <w:tcW w:w="1379"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0.00067</w:t>
            </w:r>
          </w:p>
        </w:tc>
        <w:tc>
          <w:tcPr>
            <w:tcW w:w="710"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SL</w:t>
            </w:r>
          </w:p>
        </w:tc>
        <w:tc>
          <w:tcPr>
            <w:tcW w:w="138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0.013058534</w:t>
            </w:r>
          </w:p>
        </w:tc>
        <w:tc>
          <w:tcPr>
            <w:tcW w:w="1573"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WERD780103</w:t>
            </w:r>
          </w:p>
        </w:tc>
        <w:tc>
          <w:tcPr>
            <w:tcW w:w="1357" w:type="dxa"/>
            <w:tcBorders>
              <w:top w:val="nil"/>
              <w:left w:val="nil"/>
              <w:bottom w:val="nil"/>
              <w:right w:val="nil"/>
              <w:insideH w:val="nil"/>
              <w:insideV w:val="nil"/>
            </w:tcBorders>
            <w:shd w:color="auto" w:fill="D0CECE" w:themeFill="background2" w:themeFillShade="e6"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0.027278</w:t>
            </w:r>
          </w:p>
        </w:tc>
      </w:tr>
      <w:tr>
        <w:trPr/>
        <w:tc>
          <w:tcPr>
            <w:tcW w:w="827" w:type="dxa"/>
            <w:vMerge w:val="restart"/>
            <w:tcBorders>
              <w:top w:val="nil"/>
              <w:left w:val="nil"/>
              <w:bottom w:val="nil"/>
              <w:right w:val="nil"/>
              <w:insideH w:val="nil"/>
              <w:insideV w:val="nil"/>
            </w:tcBorders>
            <w:shd w:color="auto" w:fill="FBE4D5" w:themeFill="accent2" w:themeFillTint="33" w:val="clear"/>
            <w:vAlign w:val="center"/>
          </w:tcPr>
          <w:p>
            <w:pPr>
              <w:pStyle w:val="Normal"/>
              <w:spacing w:lineRule="auto" w:line="240" w:before="0" w:after="0"/>
              <w:jc w:val="center"/>
              <w:rPr>
                <w:rFonts w:cs="Times New Roman"/>
                <w:b/>
                <w:b/>
                <w:sz w:val="20"/>
                <w:szCs w:val="20"/>
              </w:rPr>
            </w:pPr>
            <w:r>
              <w:rPr>
                <w:rFonts w:cs="Times New Roman"/>
                <w:b/>
                <w:kern w:val="2"/>
                <w:sz w:val="20"/>
                <w:szCs w:val="20"/>
                <w:lang w:eastAsia="zh-TW"/>
              </w:rPr>
              <w:t>Class 2</w:t>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H</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0.09242</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EL</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0.10303873</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TANS770108</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0.109691</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D</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0.07676</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SD</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0.08252535</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AURR980117</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0.104807</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M</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0.070623</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IN</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0.08130117</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RACS820104</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0.101093</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P</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0.070559</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VD</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0.07986674</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RICJ880115</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0.096847</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0.065001</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DL</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0.07784931</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WOLS870103</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0.096491</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Q</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0.062697</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SL</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0.07624375</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FUKS010109</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0.095744</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V</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0.062283</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NL</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0.07604569</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TANS770102</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0.095528</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0.060126</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IV</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0.07195295</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NADH010107</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0.094147</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0.059947</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KL</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0.06797586</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QIAN880130</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0.092405</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0.059926</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SA</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0.06548365</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MAXF760106</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0.091934</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0.059707</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TL</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0.06498803</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COSI940101</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0.090043</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0.059648</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WI</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0.06405323</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VELV850101</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0.090033</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F</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0.058982</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YE</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0.06402861</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WILM950103</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0.086646</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0.054914</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ME</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0.0628666</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MAXF760104</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0.08617</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0.053253</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IT</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0.06246205</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RACS820107</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0.085274</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0.05199</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LS</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0.06137169</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ISOY800108</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0.08452</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K</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0.048294</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LI</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0.06097697</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ISOY800106</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0.082061</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Y</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0.0438</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TS</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0.06092728</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RACS820106</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0.081961</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N</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0.037605</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EE</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0.06072441</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GRAR740101</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0.078853</w:t>
            </w:r>
          </w:p>
        </w:tc>
      </w:tr>
      <w:tr>
        <w:trPr/>
        <w:tc>
          <w:tcPr>
            <w:tcW w:w="827" w:type="dxa"/>
            <w:vMerge w:val="continue"/>
            <w:tcBorders>
              <w:top w:val="nil"/>
              <w:left w:val="nil"/>
              <w:bottom w:val="nil"/>
              <w:right w:val="nil"/>
              <w:insideH w:val="nil"/>
              <w:insideV w:val="nil"/>
            </w:tcBorders>
            <w:shd w:color="auto" w:fill="FBE4D5" w:themeFill="accent2" w:themeFillTint="33" w:val="clear"/>
          </w:tcPr>
          <w:p>
            <w:pPr>
              <w:pStyle w:val="Normal"/>
              <w:spacing w:lineRule="auto" w:line="240" w:before="0" w:after="0"/>
              <w:rPr>
                <w:rFonts w:cs="Times New Roman"/>
                <w:kern w:val="2"/>
                <w:sz w:val="20"/>
                <w:szCs w:val="20"/>
                <w:lang w:eastAsia="zh-TW"/>
              </w:rPr>
            </w:pPr>
            <w:r>
              <w:rPr>
                <w:rFonts w:cs="Times New Roman"/>
                <w:kern w:val="2"/>
                <w:sz w:val="20"/>
                <w:szCs w:val="20"/>
                <w:lang w:eastAsia="zh-TW"/>
              </w:rPr>
            </w:r>
          </w:p>
        </w:tc>
        <w:tc>
          <w:tcPr>
            <w:tcW w:w="735"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C</w:t>
            </w:r>
          </w:p>
        </w:tc>
        <w:tc>
          <w:tcPr>
            <w:tcW w:w="1379"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0.000599</w:t>
            </w:r>
          </w:p>
        </w:tc>
        <w:tc>
          <w:tcPr>
            <w:tcW w:w="710"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FA</w:t>
            </w:r>
          </w:p>
        </w:tc>
        <w:tc>
          <w:tcPr>
            <w:tcW w:w="138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0.06047659</w:t>
            </w:r>
          </w:p>
        </w:tc>
        <w:tc>
          <w:tcPr>
            <w:tcW w:w="1573"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WERD780102</w:t>
            </w:r>
          </w:p>
        </w:tc>
        <w:tc>
          <w:tcPr>
            <w:tcW w:w="1357" w:type="dxa"/>
            <w:tcBorders>
              <w:top w:val="nil"/>
              <w:left w:val="nil"/>
              <w:bottom w:val="nil"/>
              <w:right w:val="nil"/>
              <w:insideH w:val="nil"/>
              <w:insideV w:val="nil"/>
            </w:tcBorders>
            <w:shd w:color="auto" w:fill="FBE4D5" w:themeFill="accent2"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0.078617</w:t>
            </w:r>
          </w:p>
        </w:tc>
      </w:tr>
      <w:tr>
        <w:trPr/>
        <w:tc>
          <w:tcPr>
            <w:tcW w:w="827" w:type="dxa"/>
            <w:vMerge w:val="restart"/>
            <w:tcBorders>
              <w:top w:val="nil"/>
              <w:left w:val="nil"/>
              <w:bottom w:val="nil"/>
              <w:right w:val="nil"/>
              <w:insideH w:val="nil"/>
              <w:insideV w:val="nil"/>
            </w:tcBorders>
            <w:shd w:color="auto" w:fill="E2EFD9" w:themeFill="accent6" w:themeFillTint="33" w:val="clear"/>
            <w:vAlign w:val="center"/>
          </w:tcPr>
          <w:p>
            <w:pPr>
              <w:pStyle w:val="Normal"/>
              <w:spacing w:lineRule="auto" w:line="240" w:before="0" w:after="0"/>
              <w:jc w:val="center"/>
              <w:rPr>
                <w:rFonts w:cs="Times New Roman"/>
                <w:b/>
                <w:b/>
                <w:sz w:val="20"/>
                <w:szCs w:val="20"/>
              </w:rPr>
            </w:pPr>
            <w:r>
              <w:rPr>
                <w:rFonts w:cs="Times New Roman"/>
                <w:b/>
                <w:kern w:val="2"/>
                <w:sz w:val="20"/>
                <w:szCs w:val="20"/>
                <w:lang w:eastAsia="zh-TW"/>
              </w:rPr>
              <w:t>Class 3</w:t>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0.021722</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LG</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0.016573782</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WOLS870103</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0.038412</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D</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0.01805</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KL</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0.015982643</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RACS820107</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0.029391</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F</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0.01784</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EL</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0.014773599</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QIAN880130</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0.029198</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0.017519</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GI</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0.013426901</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RACS820112</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0.027135</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0.014583</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EE</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0.013081605</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GRAR740101</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0.025971</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0.013436</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LL</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0.012761654</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WILM950103</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0.025356</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W</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0.011452</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FA</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0.012667145</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EISD860102</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0.024124</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Q</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0.011407</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FS</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0.011344954</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AURR980108</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0.023533</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H</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0.011268</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SD</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0.011236578</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VASM830101</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0.022672</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0.010767</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TS</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0.011098277</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TANS770108</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0.022523</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K</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0.010624</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SI</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0.011022774</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TANS770109</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0.021262</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0.010044</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SA</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0.009970655</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AURR980111</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0.021221</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0.009556</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LI</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0.009466763</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ROBB760111</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0.021135</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P</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0.009214</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GL</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0.00943832</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AURR980112</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0.020944</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N</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0.00797</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SF</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0.009162101</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AURR980117</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0.020822</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M</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0.007649</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LK</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0.009024256</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RACS820109</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0.020563</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V</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0.007408</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DL</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0.008586458</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ROBB760110</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0.020382</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T</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0.005382</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IL</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0.008352161</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CIDH920104</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0.020324</w:t>
            </w:r>
          </w:p>
        </w:tc>
      </w:tr>
      <w:tr>
        <w:trPr/>
        <w:tc>
          <w:tcPr>
            <w:tcW w:w="827" w:type="dxa"/>
            <w:vMerge w:val="continue"/>
            <w:tcBorders>
              <w:top w:val="nil"/>
              <w:left w:val="nil"/>
              <w:bottom w:val="nil"/>
              <w:right w:val="nil"/>
              <w:insideH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Y</w:t>
            </w:r>
          </w:p>
        </w:tc>
        <w:tc>
          <w:tcPr>
            <w:tcW w:w="1379"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0.004871</w:t>
            </w:r>
          </w:p>
        </w:tc>
        <w:tc>
          <w:tcPr>
            <w:tcW w:w="710"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LT</w:t>
            </w:r>
          </w:p>
        </w:tc>
        <w:tc>
          <w:tcPr>
            <w:tcW w:w="138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0.007527516</w:t>
            </w:r>
          </w:p>
        </w:tc>
        <w:tc>
          <w:tcPr>
            <w:tcW w:w="1573"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CHOP780214</w:t>
            </w:r>
          </w:p>
        </w:tc>
        <w:tc>
          <w:tcPr>
            <w:tcW w:w="1357" w:type="dxa"/>
            <w:tcBorders>
              <w:top w:val="nil"/>
              <w:left w:val="nil"/>
              <w:bottom w:val="nil"/>
              <w:right w:val="nil"/>
              <w:insideH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0.020277</w:t>
            </w:r>
          </w:p>
        </w:tc>
      </w:tr>
      <w:tr>
        <w:trPr/>
        <w:tc>
          <w:tcPr>
            <w:tcW w:w="827" w:type="dxa"/>
            <w:vMerge w:val="continue"/>
            <w:tcBorders>
              <w:top w:val="nil"/>
              <w:left w:val="nil"/>
              <w:right w:val="nil"/>
              <w:insideV w:val="nil"/>
            </w:tcBorders>
            <w:shd w:color="auto" w:fill="E2EFD9" w:themeFill="accent6" w:themeFillTint="33" w:val="clear"/>
          </w:tcPr>
          <w:p>
            <w:pPr>
              <w:pStyle w:val="Normal"/>
              <w:spacing w:lineRule="auto" w:line="240" w:before="0" w:after="0"/>
              <w:rPr>
                <w:kern w:val="2"/>
                <w:sz w:val="16"/>
                <w:szCs w:val="16"/>
                <w:lang w:eastAsia="zh-TW"/>
              </w:rPr>
            </w:pPr>
            <w:r>
              <w:rPr>
                <w:kern w:val="2"/>
                <w:sz w:val="16"/>
                <w:szCs w:val="16"/>
                <w:lang w:eastAsia="zh-TW"/>
              </w:rPr>
            </w:r>
          </w:p>
        </w:tc>
        <w:tc>
          <w:tcPr>
            <w:tcW w:w="735" w:type="dxa"/>
            <w:tcBorders>
              <w:top w:val="nil"/>
              <w:left w:val="nil"/>
              <w:right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C</w:t>
            </w:r>
          </w:p>
        </w:tc>
        <w:tc>
          <w:tcPr>
            <w:tcW w:w="1379" w:type="dxa"/>
            <w:tcBorders>
              <w:top w:val="nil"/>
              <w:left w:val="nil"/>
              <w:right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0.000562</w:t>
            </w:r>
          </w:p>
        </w:tc>
        <w:tc>
          <w:tcPr>
            <w:tcW w:w="710" w:type="dxa"/>
            <w:tcBorders>
              <w:top w:val="nil"/>
              <w:left w:val="nil"/>
              <w:right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LS</w:t>
            </w:r>
          </w:p>
        </w:tc>
        <w:tc>
          <w:tcPr>
            <w:tcW w:w="1387" w:type="dxa"/>
            <w:tcBorders>
              <w:top w:val="nil"/>
              <w:left w:val="nil"/>
              <w:right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0.007378637</w:t>
            </w:r>
          </w:p>
        </w:tc>
        <w:tc>
          <w:tcPr>
            <w:tcW w:w="1573" w:type="dxa"/>
            <w:tcBorders>
              <w:top w:val="nil"/>
              <w:left w:val="nil"/>
              <w:right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MAXF760104</w:t>
            </w:r>
          </w:p>
        </w:tc>
        <w:tc>
          <w:tcPr>
            <w:tcW w:w="1357" w:type="dxa"/>
            <w:tcBorders>
              <w:top w:val="nil"/>
              <w:left w:val="nil"/>
              <w:right w:val="nil"/>
              <w:insideV w:val="nil"/>
            </w:tcBorders>
            <w:shd w:color="auto" w:fill="E2EFD9" w:themeFill="accent6" w:themeFillTint="33" w:val="clear"/>
            <w:vAlign w:val="bottom"/>
          </w:tcPr>
          <w:p>
            <w:pPr>
              <w:pStyle w:val="Normal"/>
              <w:spacing w:lineRule="auto" w:line="240" w:before="0" w:after="0"/>
              <w:jc w:val="center"/>
              <w:rPr>
                <w:rFonts w:ascii="Calibri" w:hAnsi="Calibri" w:cs="Calibri" w:asciiTheme="minorHAnsi" w:cstheme="minorHAnsi" w:hAnsiTheme="minorHAnsi"/>
                <w:color w:val="000000"/>
                <w:sz w:val="14"/>
                <w:szCs w:val="16"/>
              </w:rPr>
            </w:pPr>
            <w:r>
              <w:rPr>
                <w:rFonts w:cs="Calibri" w:ascii="Calibri" w:hAnsi="Calibri" w:asciiTheme="minorHAnsi" w:cstheme="minorHAnsi" w:hAnsiTheme="minorHAnsi"/>
                <w:color w:val="000000"/>
                <w:kern w:val="2"/>
                <w:sz w:val="14"/>
                <w:szCs w:val="16"/>
                <w:lang w:eastAsia="zh-TW"/>
              </w:rPr>
              <w:t>0.020217</w:t>
            </w:r>
          </w:p>
        </w:tc>
      </w:tr>
    </w:tbl>
    <w:p>
      <w:pPr>
        <w:pStyle w:val="Normal"/>
        <w:spacing w:lineRule="auto" w:line="360"/>
        <w:ind w:firstLine="720"/>
        <w:rPr>
          <w:rFonts w:cs="Times New Roman"/>
          <w:szCs w:val="24"/>
        </w:rPr>
      </w:pPr>
      <w:r>
        <w:rPr>
          <w:rFonts w:cs="Times New Roman"/>
          <w:szCs w:val="24"/>
        </w:rPr>
      </w:r>
    </w:p>
    <w:p>
      <w:pPr>
        <w:pStyle w:val="Normal"/>
        <w:spacing w:lineRule="auto" w:line="360"/>
        <w:ind w:firstLine="720"/>
        <w:rPr>
          <w:rFonts w:cs="Times New Roman"/>
          <w:szCs w:val="24"/>
        </w:rPr>
      </w:pPr>
      <w:r>
        <w:rPr>
          <w:rFonts w:cs="Times New Roman"/>
          <w:szCs w:val="24"/>
        </w:rPr>
        <w:t xml:space="preserve">The high F-score indicates that the feature has information. F-score is shown through variance of the data representing the distribution graph. Normal distribution of the data contained on the positive data and negative (binary classification) is an important factor to get F-score information. If illustrated, more sharpness showed less variance with high F-score information and less sharpness showed more variance with low F-score information. The details of all properties of AAindex in the table above are available at AAindex database website </w:t>
      </w:r>
      <w:r>
        <w:fldChar w:fldCharType="begin"/>
      </w:r>
      <w:r>
        <w:rPr>
          <w:szCs w:val="24"/>
          <w:rFonts w:cs="Times New Roman"/>
        </w:rPr>
        <w:instrText>ADDIN EN.CITE &lt;EndNote&gt;&lt;Cite&gt;&lt;Author&gt;富井健太郎&lt;/Author&gt;&lt;Year&gt;1995&lt;/Year&gt;&lt;RecNum&gt;83&lt;/RecNum&gt;&lt;DisplayText&gt;[77]&lt;/DisplayText&gt;&lt;record&gt;&lt;rec-number&gt;83&lt;/rec-number&gt;&lt;foreign-keys&gt;&lt;key app="EN" db-id="2warfrwsqwwxzpe00v350s2vvz52tt0pvew0" timestamp="1454493053"&gt;83&lt;/key&gt;&lt;/foreign-keys&gt;&lt;ref-type name="Journal Article"&gt;17&lt;/ref-type&gt;&lt;contributors&gt;&lt;authors&gt;&lt;author&gt;富井健太郎&lt;/author&gt;&lt;author&gt;金久實&lt;/author&gt;&lt;/authors&gt;&lt;/contributors&gt;&lt;titles&gt;&lt;title&gt;AAindex: A Database of Amino Acid Indices and Mutation Matrices&lt;/title&gt;&lt;secondary-title&gt;Genome Informatics&lt;/secondary-title&gt;&lt;/titles&gt;&lt;periodical&gt;&lt;full-title&gt;Genome Informatics&lt;/full-title&gt;&lt;/periodical&gt;&lt;pages&gt;142-143&lt;/pages&gt;&lt;volume&gt;6&lt;/volume&gt;&lt;dates&gt;&lt;year&gt;1995&lt;/year&gt;&lt;/dates&gt;&lt;isbn&gt;0919-9454&lt;/isbn&gt;&lt;urls&gt;&lt;/urls&gt;&lt;/record&gt;&lt;/Cite&gt;&lt;/EndNote&gt;</w:instrText>
      </w:r>
      <w:r>
        <w:rPr>
          <w:szCs w:val="24"/>
          <w:rFonts w:cs="Times New Roman"/>
        </w:rPr>
        <w:fldChar w:fldCharType="separate"/>
      </w:r>
      <w:bookmarkStart w:id="100" w:name="__Fieldmark__22923_277794404"/>
      <w:r>
        <w:rPr>
          <w:rFonts w:cs="Times New Roman"/>
          <w:szCs w:val="24"/>
        </w:rPr>
        <w:t>[77]</w:t>
      </w:r>
      <w:r>
        <w:rPr>
          <w:rFonts w:cs="Times New Roman"/>
          <w:szCs w:val="24"/>
        </w:rPr>
      </w:r>
      <w:r>
        <w:rPr>
          <w:szCs w:val="24"/>
          <w:rFonts w:cs="Times New Roman"/>
        </w:rPr>
        <w:fldChar w:fldCharType="end"/>
      </w:r>
      <w:hyperlink w:anchor="_ENREF_77" w:tgtFrame="富井健太郎, 1995 #83">
        <w:bookmarkEnd w:id="100"/>
        <w:r>
          <w:rPr>
            <w:rFonts w:cs="Times New Roman"/>
            <w:szCs w:val="24"/>
          </w:rPr>
          <w:t>. The visualization of the topmost F-score in three different classes is illustrated in the Figure 20 and 21:</w:t>
        </w:r>
      </w:hyperlink>
    </w:p>
    <w:p>
      <w:pPr>
        <w:pStyle w:val="Normal"/>
        <w:spacing w:lineRule="auto" w:line="360" w:before="0" w:after="0"/>
        <w:jc w:val="center"/>
        <w:rPr>
          <w:rFonts w:cs="Times New Roman"/>
          <w:b/>
          <w:b/>
          <w:szCs w:val="24"/>
        </w:rPr>
      </w:pPr>
      <w:r>
        <w:rPr/>
        <w:drawing>
          <wp:inline distT="0" distB="8890" distL="0" distR="0">
            <wp:extent cx="3400425" cy="1134745"/>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1"/>
                    <a:stretch>
                      <a:fillRect/>
                    </a:stretch>
                  </pic:blipFill>
                  <pic:spPr bwMode="auto">
                    <a:xfrm>
                      <a:off x="0" y="0"/>
                      <a:ext cx="3400425" cy="1134745"/>
                    </a:xfrm>
                    <a:prstGeom prst="rect">
                      <a:avLst/>
                    </a:prstGeom>
                  </pic:spPr>
                </pic:pic>
              </a:graphicData>
            </a:graphic>
          </wp:inline>
        </w:drawing>
      </w:r>
    </w:p>
    <w:p>
      <w:pPr>
        <w:pStyle w:val="Normal"/>
        <w:spacing w:lineRule="auto" w:line="360" w:before="0" w:after="0"/>
        <w:jc w:val="center"/>
        <w:rPr>
          <w:rFonts w:cs="Times New Roman"/>
          <w:b/>
          <w:b/>
          <w:szCs w:val="24"/>
        </w:rPr>
      </w:pPr>
      <w:r>
        <w:rPr/>
        <w:drawing>
          <wp:inline distT="0" distB="6350" distL="0" distR="0">
            <wp:extent cx="3390900" cy="1194435"/>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2"/>
                    <a:stretch>
                      <a:fillRect/>
                    </a:stretch>
                  </pic:blipFill>
                  <pic:spPr bwMode="auto">
                    <a:xfrm>
                      <a:off x="0" y="0"/>
                      <a:ext cx="3390900" cy="1194435"/>
                    </a:xfrm>
                    <a:prstGeom prst="rect">
                      <a:avLst/>
                    </a:prstGeom>
                  </pic:spPr>
                </pic:pic>
              </a:graphicData>
            </a:graphic>
          </wp:inline>
        </w:drawing>
      </w:r>
    </w:p>
    <w:p>
      <w:pPr>
        <w:pStyle w:val="Normal"/>
        <w:spacing w:lineRule="auto" w:line="240"/>
        <w:jc w:val="center"/>
        <w:rPr>
          <w:rFonts w:cs="Times New Roman"/>
          <w:b/>
          <w:b/>
          <w:szCs w:val="24"/>
        </w:rPr>
      </w:pPr>
      <w:r>
        <w:rPr/>
        <w:drawing>
          <wp:inline distT="0" distB="0" distL="0" distR="0">
            <wp:extent cx="3381375" cy="116840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23"/>
                    <a:stretch>
                      <a:fillRect/>
                    </a:stretch>
                  </pic:blipFill>
                  <pic:spPr bwMode="auto">
                    <a:xfrm>
                      <a:off x="0" y="0"/>
                      <a:ext cx="3381375" cy="1168400"/>
                    </a:xfrm>
                    <a:prstGeom prst="rect">
                      <a:avLst/>
                    </a:prstGeom>
                  </pic:spPr>
                </pic:pic>
              </a:graphicData>
            </a:graphic>
          </wp:inline>
        </w:drawing>
      </w:r>
    </w:p>
    <w:p>
      <w:pPr>
        <w:pStyle w:val="Caption1"/>
        <w:rPr>
          <w:rFonts w:cs="Times New Roman"/>
          <w:szCs w:val="24"/>
        </w:rPr>
      </w:pPr>
      <w:bookmarkStart w:id="101" w:name="_Toc454940957"/>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14</w:t>
      </w:r>
      <w:r>
        <w:rPr>
          <w:b/>
          <w:szCs w:val="24"/>
          <w:rFonts w:cs="Times New Roman"/>
        </w:rPr>
        <w:fldChar w:fldCharType="end"/>
      </w:r>
      <w:r>
        <w:rPr>
          <w:rFonts w:cs="Times New Roman"/>
          <w:szCs w:val="24"/>
        </w:rPr>
        <w:t xml:space="preserve"> - 20 Topmost F-Score in three classes Efflux Proteins of Dipeptide Composition</w:t>
      </w:r>
      <w:bookmarkEnd w:id="101"/>
    </w:p>
    <w:p>
      <w:pPr>
        <w:pStyle w:val="Normal"/>
        <w:spacing w:lineRule="auto" w:line="360" w:before="0" w:after="0"/>
        <w:jc w:val="center"/>
        <w:rPr>
          <w:rFonts w:cs="Times New Roman"/>
          <w:szCs w:val="24"/>
        </w:rPr>
      </w:pPr>
      <w:r>
        <w:rPr/>
        <w:drawing>
          <wp:inline distT="0" distB="8890" distL="0" distR="7620">
            <wp:extent cx="3364230" cy="126809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4"/>
                    <a:stretch>
                      <a:fillRect/>
                    </a:stretch>
                  </pic:blipFill>
                  <pic:spPr bwMode="auto">
                    <a:xfrm>
                      <a:off x="0" y="0"/>
                      <a:ext cx="3364230" cy="1268095"/>
                    </a:xfrm>
                    <a:prstGeom prst="rect">
                      <a:avLst/>
                    </a:prstGeom>
                  </pic:spPr>
                </pic:pic>
              </a:graphicData>
            </a:graphic>
          </wp:inline>
        </w:drawing>
      </w:r>
    </w:p>
    <w:p>
      <w:pPr>
        <w:pStyle w:val="Normal"/>
        <w:spacing w:lineRule="auto" w:line="360" w:before="0" w:after="0"/>
        <w:jc w:val="center"/>
        <w:rPr>
          <w:rFonts w:cs="Times New Roman"/>
          <w:szCs w:val="24"/>
        </w:rPr>
      </w:pPr>
      <w:r>
        <w:rPr/>
        <w:drawing>
          <wp:inline distT="0" distB="0" distL="0" distR="0">
            <wp:extent cx="3337560" cy="1035050"/>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5"/>
                    <a:stretch>
                      <a:fillRect/>
                    </a:stretch>
                  </pic:blipFill>
                  <pic:spPr bwMode="auto">
                    <a:xfrm>
                      <a:off x="0" y="0"/>
                      <a:ext cx="3337560" cy="1035050"/>
                    </a:xfrm>
                    <a:prstGeom prst="rect">
                      <a:avLst/>
                    </a:prstGeom>
                  </pic:spPr>
                </pic:pic>
              </a:graphicData>
            </a:graphic>
          </wp:inline>
        </w:drawing>
      </w:r>
    </w:p>
    <w:p>
      <w:pPr>
        <w:pStyle w:val="Normal"/>
        <w:spacing w:lineRule="auto" w:line="240"/>
        <w:jc w:val="center"/>
        <w:rPr>
          <w:rFonts w:cs="Times New Roman"/>
          <w:szCs w:val="24"/>
        </w:rPr>
      </w:pPr>
      <w:r>
        <w:rPr/>
        <w:drawing>
          <wp:inline distT="0" distB="9525" distL="0" distR="0">
            <wp:extent cx="3373120" cy="1095375"/>
            <wp:effectExtent l="0" t="0" r="0" b="0"/>
            <wp:docPr id="2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
                    <pic:cNvPicPr>
                      <a:picLocks noChangeAspect="1" noChangeArrowheads="1"/>
                    </pic:cNvPicPr>
                  </pic:nvPicPr>
                  <pic:blipFill>
                    <a:blip r:embed="rId26"/>
                    <a:stretch>
                      <a:fillRect/>
                    </a:stretch>
                  </pic:blipFill>
                  <pic:spPr bwMode="auto">
                    <a:xfrm>
                      <a:off x="0" y="0"/>
                      <a:ext cx="3373120" cy="1095375"/>
                    </a:xfrm>
                    <a:prstGeom prst="rect">
                      <a:avLst/>
                    </a:prstGeom>
                  </pic:spPr>
                </pic:pic>
              </a:graphicData>
            </a:graphic>
          </wp:inline>
        </w:drawing>
      </w:r>
    </w:p>
    <w:p>
      <w:pPr>
        <w:pStyle w:val="Caption1"/>
        <w:rPr>
          <w:rFonts w:cs="Times New Roman"/>
          <w:szCs w:val="24"/>
        </w:rPr>
      </w:pPr>
      <w:bookmarkStart w:id="102" w:name="_Toc454940958"/>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15</w:t>
      </w:r>
      <w:r>
        <w:rPr>
          <w:b/>
          <w:szCs w:val="24"/>
          <w:rFonts w:cs="Times New Roman"/>
        </w:rPr>
        <w:fldChar w:fldCharType="end"/>
      </w:r>
      <w:r>
        <w:rPr>
          <w:rFonts w:cs="Times New Roman"/>
          <w:szCs w:val="24"/>
        </w:rPr>
        <w:t xml:space="preserve"> - 20 Topmost F-Score in three classes Efflux Proteins of Amino Acid Index</w:t>
      </w:r>
      <w:bookmarkEnd w:id="102"/>
    </w:p>
    <w:p>
      <w:pPr>
        <w:pStyle w:val="Heading2"/>
        <w:rPr>
          <w:lang w:eastAsia="zh-TW"/>
        </w:rPr>
      </w:pPr>
      <w:bookmarkStart w:id="103" w:name="__RefHeading___Toc27394_277794404"/>
      <w:bookmarkStart w:id="104" w:name="_Toc455040216"/>
      <w:bookmarkEnd w:id="103"/>
      <w:r>
        <w:rPr>
          <w:lang w:eastAsia="zh-TW"/>
        </w:rPr>
        <w:t>4.2. Evaluation Measures of Feature sets and Classifiers Performance</w:t>
      </w:r>
      <w:bookmarkEnd w:id="104"/>
    </w:p>
    <w:p>
      <w:pPr>
        <w:pStyle w:val="Normal"/>
        <w:spacing w:lineRule="auto" w:line="360"/>
        <w:ind w:firstLine="720"/>
        <w:rPr>
          <w:rFonts w:cs="Times New Roman"/>
          <w:szCs w:val="24"/>
          <w:lang w:eastAsia="zh-TW"/>
        </w:rPr>
      </w:pPr>
      <w:r>
        <w:rPr>
          <w:rFonts w:cs="Times New Roman"/>
          <w:szCs w:val="24"/>
          <w:lang w:eastAsia="zh-TW"/>
        </w:rPr>
        <w:t xml:space="preserve">We have examined the effect of different feature representation methods for identifying class of efflux protein families. We used 20 selected AAindex values using F-score to enhance prediction performance, we added from 544 AAindex database as new features. The results obtained from the AAC, DPC, PSSM, and the combination of PSSM with AAindex is presented in Table 7.  </w:t>
      </w:r>
    </w:p>
    <w:p>
      <w:pPr>
        <w:pStyle w:val="Caption1"/>
        <w:spacing w:lineRule="auto" w:line="360" w:before="0" w:after="0"/>
        <w:rPr>
          <w:rFonts w:cs="Times New Roman"/>
          <w:bCs/>
          <w:szCs w:val="24"/>
          <w:lang w:eastAsia="zh-TW"/>
        </w:rPr>
      </w:pPr>
      <w:bookmarkStart w:id="105" w:name="_Toc454736518"/>
      <w:r>
        <w:rPr>
          <w:b/>
        </w:rPr>
        <w:t xml:space="preserve">Table </w:t>
      </w:r>
      <w:r>
        <w:rPr>
          <w:b/>
        </w:rPr>
        <w:fldChar w:fldCharType="begin"/>
      </w:r>
      <w:r>
        <w:rPr>
          <w:b/>
        </w:rPr>
        <w:instrText> SEQ Table \* ARABIC </w:instrText>
      </w:r>
      <w:r>
        <w:rPr>
          <w:b/>
        </w:rPr>
        <w:fldChar w:fldCharType="separate"/>
      </w:r>
      <w:r>
        <w:rPr>
          <w:b/>
        </w:rPr>
        <w:t>3</w:t>
      </w:r>
      <w:r>
        <w:rPr>
          <w:b/>
        </w:rPr>
        <w:fldChar w:fldCharType="end"/>
      </w:r>
      <w:r>
        <w:rPr/>
        <w:t xml:space="preserve"> - </w:t>
      </w:r>
      <w:r>
        <w:rPr>
          <w:rFonts w:cs="Times New Roman"/>
          <w:bCs/>
          <w:szCs w:val="24"/>
          <w:lang w:eastAsia="zh-TW"/>
        </w:rPr>
        <w:t>Performance of Different Feature sets in Class 1</w:t>
      </w:r>
      <w:bookmarkEnd w:id="105"/>
    </w:p>
    <w:tbl>
      <w:tblPr>
        <w:tblStyle w:val="TableGrid"/>
        <w:tblW w:w="5242" w:type="dxa"/>
        <w:jc w:val="center"/>
        <w:tblInd w:w="0" w:type="dxa"/>
        <w:tblCellMar>
          <w:top w:w="0" w:type="dxa"/>
          <w:left w:w="108" w:type="dxa"/>
          <w:bottom w:w="0" w:type="dxa"/>
          <w:right w:w="108" w:type="dxa"/>
        </w:tblCellMar>
        <w:tblLook w:firstRow="1" w:noVBand="1" w:lastRow="0" w:firstColumn="1" w:lastColumn="0" w:noHBand="0" w:val="04a0"/>
      </w:tblPr>
      <w:tblGrid>
        <w:gridCol w:w="1311"/>
        <w:gridCol w:w="1105"/>
        <w:gridCol w:w="1105"/>
        <w:gridCol w:w="1027"/>
        <w:gridCol w:w="694"/>
      </w:tblGrid>
      <w:tr>
        <w:trPr/>
        <w:tc>
          <w:tcPr>
            <w:tcW w:w="1311"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Feature set</w:t>
            </w:r>
          </w:p>
        </w:tc>
        <w:tc>
          <w:tcPr>
            <w:tcW w:w="1105"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Sensitivity</w:t>
            </w:r>
          </w:p>
        </w:tc>
        <w:tc>
          <w:tcPr>
            <w:tcW w:w="1105"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Specificity</w:t>
            </w:r>
          </w:p>
        </w:tc>
        <w:tc>
          <w:tcPr>
            <w:tcW w:w="1027"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Accuracy</w:t>
            </w:r>
          </w:p>
        </w:tc>
        <w:tc>
          <w:tcPr>
            <w:tcW w:w="694"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MCC</w:t>
            </w:r>
          </w:p>
        </w:tc>
      </w:tr>
      <w:tr>
        <w:trPr/>
        <w:tc>
          <w:tcPr>
            <w:tcW w:w="5242" w:type="dxa"/>
            <w:gridSpan w:val="5"/>
            <w:tcBorders>
              <w:left w:val="nil"/>
              <w:bottom w:val="nil"/>
              <w:right w:val="nil"/>
              <w:insideH w:val="nil"/>
              <w:insideV w:val="nil"/>
            </w:tcBorders>
            <w:shd w:fill="auto" w:val="clear"/>
            <w:vAlign w:val="center"/>
          </w:tcPr>
          <w:p>
            <w:pPr>
              <w:pStyle w:val="Normal"/>
              <w:spacing w:lineRule="auto" w:line="240" w:before="0" w:after="0"/>
              <w:jc w:val="right"/>
              <w:rPr>
                <w:rFonts w:cs="Times New Roman"/>
                <w:b/>
                <w:b/>
                <w:bCs/>
                <w:color w:val="000000" w:themeColor="text1"/>
                <w:sz w:val="16"/>
                <w:szCs w:val="16"/>
              </w:rPr>
            </w:pPr>
            <w:r>
              <w:rPr>
                <w:rFonts w:cs="Times New Roman"/>
                <w:b/>
                <w:bCs/>
                <w:color w:val="000000" w:themeColor="text1"/>
                <w:kern w:val="2"/>
                <w:sz w:val="16"/>
                <w:szCs w:val="16"/>
                <w:lang w:eastAsia="zh-TW"/>
              </w:rPr>
              <w:t>Cross Validation</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AAC</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94.4</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90.8</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92.6</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0.854</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DPC</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93.9</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91.6</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92.8</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0.858</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95.3</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96.6</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95.9</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0.919</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PSSM+AAIndex</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97.1</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95.2</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96.2</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sz w:val="16"/>
                <w:szCs w:val="16"/>
              </w:rPr>
            </w:pPr>
            <w:r>
              <w:rPr>
                <w:kern w:val="2"/>
                <w:sz w:val="16"/>
                <w:szCs w:val="16"/>
                <w:lang w:eastAsia="zh-TW"/>
              </w:rPr>
              <w:t>0.924</w:t>
            </w:r>
          </w:p>
        </w:tc>
      </w:tr>
      <w:tr>
        <w:trPr/>
        <w:tc>
          <w:tcPr>
            <w:tcW w:w="5242" w:type="dxa"/>
            <w:gridSpan w:val="5"/>
            <w:tcBorders>
              <w:top w:val="nil"/>
              <w:left w:val="nil"/>
              <w:bottom w:val="nil"/>
              <w:right w:val="nil"/>
              <w:insideH w:val="nil"/>
              <w:insideV w:val="nil"/>
            </w:tcBorders>
            <w:shd w:fill="auto" w:val="clear"/>
            <w:vAlign w:val="center"/>
          </w:tcPr>
          <w:p>
            <w:pPr>
              <w:pStyle w:val="Normal"/>
              <w:spacing w:lineRule="auto" w:line="240" w:before="0" w:after="0"/>
              <w:jc w:val="right"/>
              <w:rPr>
                <w:rFonts w:cs="Times New Roman"/>
                <w:bCs/>
                <w:color w:val="000000" w:themeColor="text1"/>
                <w:sz w:val="16"/>
                <w:szCs w:val="16"/>
              </w:rPr>
            </w:pPr>
            <w:r>
              <w:rPr>
                <w:rFonts w:cs="Times New Roman"/>
                <w:b/>
                <w:color w:val="000000" w:themeColor="text1"/>
                <w:kern w:val="2"/>
                <w:sz w:val="16"/>
                <w:szCs w:val="16"/>
                <w:lang w:eastAsia="zh-TW"/>
              </w:rPr>
              <w:t>Independent Dataset</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AAC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82.0</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88.1</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86.4</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0.68</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DPC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84.0</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93.6</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90.9</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0.78</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86.0</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94.4</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92.1</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sz w:val="16"/>
                <w:szCs w:val="16"/>
              </w:rPr>
            </w:pPr>
            <w:r>
              <w:rPr>
                <w:kern w:val="2"/>
                <w:sz w:val="16"/>
                <w:szCs w:val="16"/>
                <w:lang w:eastAsia="zh-TW"/>
              </w:rPr>
              <w:t>0.81</w:t>
            </w:r>
          </w:p>
        </w:tc>
      </w:tr>
      <w:tr>
        <w:trPr/>
        <w:tc>
          <w:tcPr>
            <w:tcW w:w="1311" w:type="dxa"/>
            <w:tcBorders>
              <w:top w:val="nil"/>
              <w:left w:val="nil"/>
              <w:right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PSSM+AAIndex</w:t>
            </w:r>
          </w:p>
        </w:tc>
        <w:tc>
          <w:tcPr>
            <w:tcW w:w="1105" w:type="dxa"/>
            <w:tcBorders>
              <w:top w:val="nil"/>
              <w:left w:val="nil"/>
              <w:right w:val="nil"/>
              <w:insideV w:val="nil"/>
            </w:tcBorders>
            <w:shd w:fill="auto" w:val="clear"/>
          </w:tcPr>
          <w:p>
            <w:pPr>
              <w:pStyle w:val="Normal"/>
              <w:spacing w:lineRule="auto" w:line="240" w:before="0" w:after="0"/>
              <w:jc w:val="center"/>
              <w:rPr>
                <w:sz w:val="16"/>
                <w:szCs w:val="16"/>
              </w:rPr>
            </w:pPr>
            <w:r>
              <w:rPr>
                <w:kern w:val="2"/>
                <w:sz w:val="16"/>
                <w:szCs w:val="16"/>
                <w:lang w:eastAsia="zh-TW"/>
              </w:rPr>
              <w:t>90.0</w:t>
            </w:r>
          </w:p>
        </w:tc>
        <w:tc>
          <w:tcPr>
            <w:tcW w:w="1105" w:type="dxa"/>
            <w:tcBorders>
              <w:top w:val="nil"/>
              <w:left w:val="nil"/>
              <w:right w:val="nil"/>
              <w:insideV w:val="nil"/>
            </w:tcBorders>
            <w:shd w:fill="auto" w:val="clear"/>
          </w:tcPr>
          <w:p>
            <w:pPr>
              <w:pStyle w:val="Normal"/>
              <w:spacing w:lineRule="auto" w:line="240" w:before="0" w:after="0"/>
              <w:jc w:val="center"/>
              <w:rPr>
                <w:sz w:val="16"/>
                <w:szCs w:val="16"/>
              </w:rPr>
            </w:pPr>
            <w:r>
              <w:rPr>
                <w:kern w:val="2"/>
                <w:sz w:val="16"/>
                <w:szCs w:val="16"/>
                <w:lang w:eastAsia="zh-TW"/>
              </w:rPr>
              <w:t>97.6</w:t>
            </w:r>
          </w:p>
        </w:tc>
        <w:tc>
          <w:tcPr>
            <w:tcW w:w="1027" w:type="dxa"/>
            <w:tcBorders>
              <w:top w:val="nil"/>
              <w:left w:val="nil"/>
              <w:right w:val="nil"/>
              <w:insideV w:val="nil"/>
            </w:tcBorders>
            <w:shd w:fill="auto" w:val="clear"/>
          </w:tcPr>
          <w:p>
            <w:pPr>
              <w:pStyle w:val="Normal"/>
              <w:spacing w:lineRule="auto" w:line="240" w:before="0" w:after="0"/>
              <w:jc w:val="center"/>
              <w:rPr>
                <w:sz w:val="16"/>
                <w:szCs w:val="16"/>
              </w:rPr>
            </w:pPr>
            <w:r>
              <w:rPr>
                <w:kern w:val="2"/>
                <w:sz w:val="16"/>
                <w:szCs w:val="16"/>
                <w:lang w:eastAsia="zh-TW"/>
              </w:rPr>
              <w:t>95.5</w:t>
            </w:r>
          </w:p>
        </w:tc>
        <w:tc>
          <w:tcPr>
            <w:tcW w:w="694" w:type="dxa"/>
            <w:tcBorders>
              <w:top w:val="nil"/>
              <w:left w:val="nil"/>
              <w:right w:val="nil"/>
              <w:insideV w:val="nil"/>
            </w:tcBorders>
            <w:shd w:fill="auto" w:val="clear"/>
          </w:tcPr>
          <w:p>
            <w:pPr>
              <w:pStyle w:val="Normal"/>
              <w:spacing w:lineRule="auto" w:line="240" w:before="0" w:after="0"/>
              <w:jc w:val="center"/>
              <w:rPr>
                <w:sz w:val="16"/>
                <w:szCs w:val="16"/>
              </w:rPr>
            </w:pPr>
            <w:r>
              <w:rPr>
                <w:kern w:val="2"/>
                <w:sz w:val="16"/>
                <w:szCs w:val="16"/>
                <w:lang w:eastAsia="zh-TW"/>
              </w:rPr>
              <w:t>0.89</w:t>
            </w:r>
          </w:p>
        </w:tc>
      </w:tr>
    </w:tbl>
    <w:p>
      <w:pPr>
        <w:pStyle w:val="Caption1"/>
        <w:spacing w:lineRule="auto" w:line="360" w:before="0" w:after="0"/>
        <w:rPr>
          <w:rFonts w:cs="Times New Roman"/>
          <w:bCs/>
          <w:szCs w:val="24"/>
          <w:lang w:eastAsia="zh-TW"/>
        </w:rPr>
      </w:pPr>
      <w:bookmarkStart w:id="106" w:name="_Toc454736519"/>
      <w:r>
        <w:rPr>
          <w:b/>
        </w:rPr>
        <w:t xml:space="preserve">Table </w:t>
      </w:r>
      <w:r>
        <w:rPr>
          <w:b/>
        </w:rPr>
        <w:fldChar w:fldCharType="begin"/>
      </w:r>
      <w:r>
        <w:rPr>
          <w:b/>
        </w:rPr>
        <w:instrText> SEQ Table \* ARABIC </w:instrText>
      </w:r>
      <w:r>
        <w:rPr>
          <w:b/>
        </w:rPr>
        <w:fldChar w:fldCharType="separate"/>
      </w:r>
      <w:r>
        <w:rPr>
          <w:b/>
        </w:rPr>
        <w:t>4</w:t>
      </w:r>
      <w:r>
        <w:rPr>
          <w:b/>
        </w:rPr>
        <w:fldChar w:fldCharType="end"/>
      </w:r>
      <w:r>
        <w:rPr/>
        <w:t xml:space="preserve"> - </w:t>
      </w:r>
      <w:r>
        <w:rPr>
          <w:rFonts w:cs="Times New Roman"/>
          <w:bCs/>
          <w:szCs w:val="24"/>
          <w:lang w:eastAsia="zh-TW"/>
        </w:rPr>
        <w:t>Performance of Different Feature sets in Class 2</w:t>
      </w:r>
      <w:bookmarkEnd w:id="106"/>
    </w:p>
    <w:tbl>
      <w:tblPr>
        <w:tblStyle w:val="TableGrid"/>
        <w:tblW w:w="5242" w:type="dxa"/>
        <w:jc w:val="center"/>
        <w:tblInd w:w="0" w:type="dxa"/>
        <w:tblCellMar>
          <w:top w:w="0" w:type="dxa"/>
          <w:left w:w="108" w:type="dxa"/>
          <w:bottom w:w="0" w:type="dxa"/>
          <w:right w:w="108" w:type="dxa"/>
        </w:tblCellMar>
        <w:tblLook w:firstRow="1" w:noVBand="1" w:lastRow="0" w:firstColumn="1" w:lastColumn="0" w:noHBand="0" w:val="04a0"/>
      </w:tblPr>
      <w:tblGrid>
        <w:gridCol w:w="1311"/>
        <w:gridCol w:w="1105"/>
        <w:gridCol w:w="1105"/>
        <w:gridCol w:w="1027"/>
        <w:gridCol w:w="694"/>
      </w:tblGrid>
      <w:tr>
        <w:trPr/>
        <w:tc>
          <w:tcPr>
            <w:tcW w:w="1311"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Feature set</w:t>
            </w:r>
          </w:p>
        </w:tc>
        <w:tc>
          <w:tcPr>
            <w:tcW w:w="1105"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Sensitivity</w:t>
            </w:r>
          </w:p>
        </w:tc>
        <w:tc>
          <w:tcPr>
            <w:tcW w:w="1105"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Specificity</w:t>
            </w:r>
          </w:p>
        </w:tc>
        <w:tc>
          <w:tcPr>
            <w:tcW w:w="1027"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Accuracy</w:t>
            </w:r>
          </w:p>
        </w:tc>
        <w:tc>
          <w:tcPr>
            <w:tcW w:w="694"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MCC</w:t>
            </w:r>
          </w:p>
        </w:tc>
      </w:tr>
      <w:tr>
        <w:trPr/>
        <w:tc>
          <w:tcPr>
            <w:tcW w:w="5242" w:type="dxa"/>
            <w:gridSpan w:val="5"/>
            <w:tcBorders>
              <w:left w:val="nil"/>
              <w:bottom w:val="nil"/>
              <w:right w:val="nil"/>
              <w:insideH w:val="nil"/>
              <w:insideV w:val="nil"/>
            </w:tcBorders>
            <w:shd w:fill="auto" w:val="clear"/>
            <w:vAlign w:val="center"/>
          </w:tcPr>
          <w:p>
            <w:pPr>
              <w:pStyle w:val="Normal"/>
              <w:spacing w:lineRule="auto" w:line="240" w:before="0" w:after="0"/>
              <w:jc w:val="right"/>
              <w:rPr>
                <w:rFonts w:cs="Times New Roman"/>
                <w:b/>
                <w:b/>
                <w:bCs/>
                <w:color w:val="000000" w:themeColor="text1"/>
                <w:sz w:val="16"/>
                <w:szCs w:val="16"/>
              </w:rPr>
            </w:pPr>
            <w:r>
              <w:rPr>
                <w:rFonts w:cs="Times New Roman"/>
                <w:b/>
                <w:bCs/>
                <w:color w:val="000000" w:themeColor="text1"/>
                <w:kern w:val="2"/>
                <w:sz w:val="16"/>
                <w:szCs w:val="16"/>
                <w:lang w:eastAsia="zh-TW"/>
              </w:rPr>
              <w:t>Cross Validation</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AAC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87.2</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86.9</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87</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0.742</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DPC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83</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91.1</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87</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0.744</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94.6</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87.7</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91.1</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0.825</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PSSM+AAIndex</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91.6</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91.8</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91.7</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0.834</w:t>
            </w:r>
          </w:p>
        </w:tc>
      </w:tr>
      <w:tr>
        <w:trPr/>
        <w:tc>
          <w:tcPr>
            <w:tcW w:w="5242" w:type="dxa"/>
            <w:gridSpan w:val="5"/>
            <w:tcBorders>
              <w:top w:val="nil"/>
              <w:left w:val="nil"/>
              <w:bottom w:val="nil"/>
              <w:right w:val="nil"/>
              <w:insideH w:val="nil"/>
              <w:insideV w:val="nil"/>
            </w:tcBorders>
            <w:shd w:fill="auto" w:val="clear"/>
            <w:vAlign w:val="center"/>
          </w:tcPr>
          <w:p>
            <w:pPr>
              <w:pStyle w:val="Normal"/>
              <w:spacing w:lineRule="auto" w:line="240" w:before="0" w:after="0"/>
              <w:jc w:val="right"/>
              <w:rPr>
                <w:rFonts w:cs="Times New Roman"/>
                <w:bCs/>
                <w:color w:val="000000" w:themeColor="text1"/>
                <w:sz w:val="16"/>
                <w:szCs w:val="16"/>
              </w:rPr>
            </w:pPr>
            <w:r>
              <w:rPr>
                <w:rFonts w:cs="Times New Roman"/>
                <w:b/>
                <w:color w:val="000000" w:themeColor="text1"/>
                <w:kern w:val="2"/>
                <w:sz w:val="16"/>
                <w:szCs w:val="16"/>
                <w:lang w:eastAsia="zh-TW"/>
              </w:rPr>
              <w:t>Independent Dataset</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AAC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70</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80.7</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80.1</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0.28</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DPC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60</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72.9</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72.2</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0.17</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70</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83.7</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82.9</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0.32</w:t>
            </w:r>
          </w:p>
        </w:tc>
      </w:tr>
      <w:tr>
        <w:trPr/>
        <w:tc>
          <w:tcPr>
            <w:tcW w:w="1311" w:type="dxa"/>
            <w:tcBorders>
              <w:top w:val="nil"/>
              <w:left w:val="nil"/>
              <w:right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PSSM+AAIndex</w:t>
            </w:r>
          </w:p>
        </w:tc>
        <w:tc>
          <w:tcPr>
            <w:tcW w:w="1105" w:type="dxa"/>
            <w:tcBorders>
              <w:top w:val="nil"/>
              <w:left w:val="nil"/>
              <w:right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80</w:t>
            </w:r>
          </w:p>
        </w:tc>
        <w:tc>
          <w:tcPr>
            <w:tcW w:w="1105" w:type="dxa"/>
            <w:tcBorders>
              <w:top w:val="nil"/>
              <w:left w:val="nil"/>
              <w:right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87.3</w:t>
            </w:r>
          </w:p>
        </w:tc>
        <w:tc>
          <w:tcPr>
            <w:tcW w:w="1027" w:type="dxa"/>
            <w:tcBorders>
              <w:top w:val="nil"/>
              <w:left w:val="nil"/>
              <w:right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86.9</w:t>
            </w:r>
          </w:p>
        </w:tc>
        <w:tc>
          <w:tcPr>
            <w:tcW w:w="694" w:type="dxa"/>
            <w:tcBorders>
              <w:top w:val="nil"/>
              <w:left w:val="nil"/>
              <w:right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0.42</w:t>
            </w:r>
          </w:p>
        </w:tc>
      </w:tr>
    </w:tbl>
    <w:p>
      <w:pPr>
        <w:pStyle w:val="Caption1"/>
        <w:spacing w:lineRule="auto" w:line="360" w:before="0" w:after="0"/>
        <w:rPr>
          <w:rFonts w:cs="Times New Roman"/>
          <w:bCs/>
          <w:szCs w:val="24"/>
          <w:lang w:eastAsia="zh-TW"/>
        </w:rPr>
      </w:pPr>
      <w:bookmarkStart w:id="107" w:name="_Toc454736520"/>
      <w:r>
        <w:rPr>
          <w:b/>
        </w:rPr>
        <w:t xml:space="preserve">Table </w:t>
      </w:r>
      <w:r>
        <w:rPr>
          <w:b/>
        </w:rPr>
        <w:fldChar w:fldCharType="begin"/>
      </w:r>
      <w:r>
        <w:rPr>
          <w:b/>
        </w:rPr>
        <w:instrText> SEQ Table \* ARABIC </w:instrText>
      </w:r>
      <w:r>
        <w:rPr>
          <w:b/>
        </w:rPr>
        <w:fldChar w:fldCharType="separate"/>
      </w:r>
      <w:r>
        <w:rPr>
          <w:b/>
        </w:rPr>
        <w:t>5</w:t>
      </w:r>
      <w:r>
        <w:rPr>
          <w:b/>
        </w:rPr>
        <w:fldChar w:fldCharType="end"/>
      </w:r>
      <w:r>
        <w:rPr/>
        <w:t xml:space="preserve"> - </w:t>
      </w:r>
      <w:r>
        <w:rPr>
          <w:rFonts w:cs="Times New Roman"/>
          <w:bCs/>
          <w:szCs w:val="24"/>
          <w:lang w:eastAsia="zh-TW"/>
        </w:rPr>
        <w:t>Performance of Different Feature sets in Class 3</w:t>
      </w:r>
      <w:bookmarkEnd w:id="107"/>
    </w:p>
    <w:tbl>
      <w:tblPr>
        <w:tblStyle w:val="TableGrid"/>
        <w:tblW w:w="5242" w:type="dxa"/>
        <w:jc w:val="center"/>
        <w:tblInd w:w="0" w:type="dxa"/>
        <w:tblCellMar>
          <w:top w:w="0" w:type="dxa"/>
          <w:left w:w="108" w:type="dxa"/>
          <w:bottom w:w="0" w:type="dxa"/>
          <w:right w:w="108" w:type="dxa"/>
        </w:tblCellMar>
        <w:tblLook w:firstRow="1" w:noVBand="1" w:lastRow="0" w:firstColumn="1" w:lastColumn="0" w:noHBand="0" w:val="04a0"/>
      </w:tblPr>
      <w:tblGrid>
        <w:gridCol w:w="1311"/>
        <w:gridCol w:w="1105"/>
        <w:gridCol w:w="1105"/>
        <w:gridCol w:w="1027"/>
        <w:gridCol w:w="694"/>
      </w:tblGrid>
      <w:tr>
        <w:trPr/>
        <w:tc>
          <w:tcPr>
            <w:tcW w:w="1311"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Feature set</w:t>
            </w:r>
          </w:p>
        </w:tc>
        <w:tc>
          <w:tcPr>
            <w:tcW w:w="1105"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Sensitivity</w:t>
            </w:r>
          </w:p>
        </w:tc>
        <w:tc>
          <w:tcPr>
            <w:tcW w:w="1105"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Specificity</w:t>
            </w:r>
          </w:p>
        </w:tc>
        <w:tc>
          <w:tcPr>
            <w:tcW w:w="1027"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Accuracy</w:t>
            </w:r>
          </w:p>
        </w:tc>
        <w:tc>
          <w:tcPr>
            <w:tcW w:w="694"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MCC</w:t>
            </w:r>
          </w:p>
        </w:tc>
      </w:tr>
      <w:tr>
        <w:trPr/>
        <w:tc>
          <w:tcPr>
            <w:tcW w:w="5242" w:type="dxa"/>
            <w:gridSpan w:val="5"/>
            <w:tcBorders>
              <w:left w:val="nil"/>
              <w:bottom w:val="nil"/>
              <w:right w:val="nil"/>
              <w:insideH w:val="nil"/>
              <w:insideV w:val="nil"/>
            </w:tcBorders>
            <w:shd w:fill="auto" w:val="clear"/>
            <w:vAlign w:val="center"/>
          </w:tcPr>
          <w:p>
            <w:pPr>
              <w:pStyle w:val="Normal"/>
              <w:spacing w:lineRule="auto" w:line="240" w:before="0" w:after="0"/>
              <w:jc w:val="right"/>
              <w:rPr>
                <w:rFonts w:cs="Times New Roman"/>
                <w:b/>
                <w:b/>
                <w:bCs/>
                <w:color w:val="000000" w:themeColor="text1"/>
                <w:sz w:val="16"/>
                <w:szCs w:val="16"/>
              </w:rPr>
            </w:pPr>
            <w:r>
              <w:rPr>
                <w:rFonts w:cs="Times New Roman"/>
                <w:b/>
                <w:bCs/>
                <w:color w:val="000000" w:themeColor="text1"/>
                <w:kern w:val="2"/>
                <w:sz w:val="16"/>
                <w:szCs w:val="16"/>
                <w:lang w:eastAsia="zh-TW"/>
              </w:rPr>
              <w:t>Cross Validation</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AAC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88.8</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91.9</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90.4</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0.809</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DPC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87.9</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86.5</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87.2</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0.748</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93.1</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94.2</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93.7</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0.874</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PSSM+AAIndex</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95.1</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94.8</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95</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0.899</w:t>
            </w:r>
          </w:p>
        </w:tc>
      </w:tr>
      <w:tr>
        <w:trPr/>
        <w:tc>
          <w:tcPr>
            <w:tcW w:w="5242" w:type="dxa"/>
            <w:gridSpan w:val="5"/>
            <w:tcBorders>
              <w:top w:val="nil"/>
              <w:left w:val="nil"/>
              <w:bottom w:val="nil"/>
              <w:right w:val="nil"/>
              <w:insideH w:val="nil"/>
              <w:insideV w:val="nil"/>
            </w:tcBorders>
            <w:shd w:fill="auto" w:val="clear"/>
            <w:vAlign w:val="center"/>
          </w:tcPr>
          <w:p>
            <w:pPr>
              <w:pStyle w:val="Normal"/>
              <w:spacing w:lineRule="auto" w:line="240" w:before="0" w:after="0"/>
              <w:jc w:val="right"/>
              <w:rPr>
                <w:rFonts w:cs="Times New Roman"/>
                <w:bCs/>
                <w:color w:val="000000" w:themeColor="text1"/>
                <w:sz w:val="16"/>
                <w:szCs w:val="16"/>
              </w:rPr>
            </w:pPr>
            <w:r>
              <w:rPr>
                <w:rFonts w:cs="Times New Roman"/>
                <w:b/>
                <w:color w:val="000000" w:themeColor="text1"/>
                <w:kern w:val="2"/>
                <w:sz w:val="16"/>
                <w:szCs w:val="16"/>
                <w:lang w:eastAsia="zh-TW"/>
              </w:rPr>
              <w:t>Independent Dataset</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AAC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87.8</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71.2</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82.2</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0.6</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DPC</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86.1</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81.9</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84.7</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0.67</w:t>
            </w:r>
          </w:p>
        </w:tc>
      </w:tr>
      <w:tr>
        <w:trPr/>
        <w:tc>
          <w:tcPr>
            <w:tcW w:w="1311" w:type="dxa"/>
            <w:tcBorders>
              <w:top w:val="nil"/>
              <w:left w:val="nil"/>
              <w:bottom w:val="nil"/>
              <w:right w:val="nil"/>
              <w:insideH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93.9</w:t>
            </w:r>
          </w:p>
        </w:tc>
        <w:tc>
          <w:tcPr>
            <w:tcW w:w="1105"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80</w:t>
            </w:r>
          </w:p>
        </w:tc>
        <w:tc>
          <w:tcPr>
            <w:tcW w:w="1027"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89.2</w:t>
            </w:r>
          </w:p>
        </w:tc>
        <w:tc>
          <w:tcPr>
            <w:tcW w:w="694" w:type="dxa"/>
            <w:tcBorders>
              <w:top w:val="nil"/>
              <w:left w:val="nil"/>
              <w:bottom w:val="nil"/>
              <w:right w:val="nil"/>
              <w:insideH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0.77</w:t>
            </w:r>
          </w:p>
        </w:tc>
      </w:tr>
      <w:tr>
        <w:trPr/>
        <w:tc>
          <w:tcPr>
            <w:tcW w:w="1311" w:type="dxa"/>
            <w:tcBorders>
              <w:top w:val="nil"/>
              <w:left w:val="nil"/>
              <w:right w:val="nil"/>
              <w:insideV w:val="nil"/>
            </w:tcBorders>
            <w:shd w:fill="auto" w:val="clear"/>
            <w:vAlign w:val="center"/>
          </w:tcPr>
          <w:p>
            <w:pPr>
              <w:pStyle w:val="Normal"/>
              <w:spacing w:lineRule="auto" w:line="240" w:before="0" w:after="0"/>
              <w:rPr>
                <w:rFonts w:cs="Times New Roman"/>
                <w:sz w:val="16"/>
                <w:szCs w:val="16"/>
              </w:rPr>
            </w:pPr>
            <w:r>
              <w:rPr>
                <w:rFonts w:cs="Times New Roman"/>
                <w:kern w:val="2"/>
                <w:sz w:val="16"/>
                <w:szCs w:val="16"/>
                <w:lang w:eastAsia="zh-TW"/>
              </w:rPr>
              <w:t>PSSM+AAIndex</w:t>
            </w:r>
          </w:p>
        </w:tc>
        <w:tc>
          <w:tcPr>
            <w:tcW w:w="1105" w:type="dxa"/>
            <w:tcBorders>
              <w:top w:val="nil"/>
              <w:left w:val="nil"/>
              <w:right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94.8</w:t>
            </w:r>
          </w:p>
        </w:tc>
        <w:tc>
          <w:tcPr>
            <w:tcW w:w="1105" w:type="dxa"/>
            <w:tcBorders>
              <w:top w:val="nil"/>
              <w:left w:val="nil"/>
              <w:right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78.3</w:t>
            </w:r>
          </w:p>
        </w:tc>
        <w:tc>
          <w:tcPr>
            <w:tcW w:w="1027" w:type="dxa"/>
            <w:tcBorders>
              <w:top w:val="nil"/>
              <w:left w:val="nil"/>
              <w:right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89.2</w:t>
            </w:r>
          </w:p>
        </w:tc>
        <w:tc>
          <w:tcPr>
            <w:tcW w:w="694" w:type="dxa"/>
            <w:tcBorders>
              <w:top w:val="nil"/>
              <w:left w:val="nil"/>
              <w:right w:val="nil"/>
              <w:insideV w:val="nil"/>
            </w:tcBorders>
            <w:shd w:fill="auto" w:val="clear"/>
          </w:tcPr>
          <w:p>
            <w:pPr>
              <w:pStyle w:val="Normal"/>
              <w:spacing w:lineRule="auto" w:line="240" w:before="0" w:after="0"/>
              <w:jc w:val="center"/>
              <w:rPr>
                <w:rFonts w:cs="Times New Roman"/>
                <w:sz w:val="16"/>
                <w:szCs w:val="16"/>
              </w:rPr>
            </w:pPr>
            <w:r>
              <w:rPr>
                <w:rFonts w:cs="Times New Roman"/>
                <w:kern w:val="2"/>
                <w:sz w:val="16"/>
                <w:szCs w:val="16"/>
                <w:lang w:eastAsia="zh-TW"/>
              </w:rPr>
              <w:t>0.77</w:t>
            </w:r>
          </w:p>
        </w:tc>
      </w:tr>
    </w:tbl>
    <w:p>
      <w:pPr>
        <w:pStyle w:val="Normal"/>
        <w:spacing w:lineRule="auto" w:line="360"/>
        <w:rPr>
          <w:rFonts w:cs="Times New Roman"/>
          <w:bCs/>
          <w:color w:val="000000" w:themeColor="text1"/>
          <w:szCs w:val="24"/>
          <w:lang w:eastAsia="zh-TW"/>
        </w:rPr>
      </w:pPr>
      <w:r>
        <w:rPr>
          <w:rFonts w:cs="Times New Roman"/>
          <w:bCs/>
          <w:color w:val="000000" w:themeColor="text1"/>
          <w:szCs w:val="24"/>
          <w:lang w:eastAsia="zh-TW"/>
        </w:rPr>
      </w:r>
    </w:p>
    <w:p>
      <w:pPr>
        <w:pStyle w:val="Normal"/>
        <w:spacing w:lineRule="auto" w:line="360"/>
        <w:ind w:firstLine="720"/>
        <w:rPr>
          <w:rFonts w:cs="Times New Roman"/>
          <w:bCs/>
          <w:color w:val="000000" w:themeColor="text1"/>
          <w:szCs w:val="24"/>
          <w:lang w:eastAsia="zh-TW"/>
        </w:rPr>
      </w:pPr>
      <w:r>
        <w:rPr>
          <w:rFonts w:cs="Times New Roman"/>
          <w:bCs/>
          <w:color w:val="000000" w:themeColor="text1"/>
          <w:szCs w:val="24"/>
          <w:lang w:eastAsia="zh-TW"/>
        </w:rPr>
        <w:t xml:space="preserve">According to the results in the table 7, 8 and 9 above, PSSM with AAindex as amino acid properties was successful identifying for each class of efflux protein families with an average fivefold cross validation accuracy of 96.2% for Class 1, average fivefold cross validation accuracy of 91.7% for Class 2, and average fivefold cross validation accuracy of 95.0% for Class 3. We evaluated the performance of true positive rate (sensitivity) for Class 1, Class 2 and Class 3 with an average fivefold cross validation of 97.1%, 91.6% and 95.1%. We also evaluated the performance of true negative rate (specificity) for Class 1, Class 2 and Class 3 with an average fivefold cross validation of 95.2%, 91.8% and 94.8%, respectively. We achieved a correlation of MMC yielded an average fivefold cross validation of 0.92 for Class 1, 0.83 for Class 2 and 0.89 for Class 3 using training dataset tests. </w:t>
      </w:r>
    </w:p>
    <w:p>
      <w:pPr>
        <w:pStyle w:val="Normal"/>
        <w:spacing w:lineRule="auto" w:line="360"/>
        <w:ind w:firstLine="720"/>
        <w:rPr>
          <w:rFonts w:cs="Times New Roman"/>
          <w:bCs/>
          <w:color w:val="000000" w:themeColor="text1"/>
          <w:szCs w:val="24"/>
          <w:lang w:eastAsia="zh-TW"/>
        </w:rPr>
      </w:pPr>
      <w:r>
        <w:rPr>
          <w:rFonts w:cs="Times New Roman"/>
          <w:bCs/>
          <w:color w:val="000000" w:themeColor="text1"/>
          <w:szCs w:val="24"/>
          <w:lang w:eastAsia="zh-TW"/>
        </w:rPr>
        <w:t xml:space="preserve">In independent test data part [table 7, 8 and 9], the result showed that the improvement accuracy by using radial basic function approach 10% over AAC features. We evaluated the performance of true positive rate (sensitivity) and true negative rate (specificity) yielded an average of 90.0% and 97.6% for Class 1, 80.0% and 87.3% for Class 2 and 94.8% and 78.3 for Class 3 using independent dataset tests. We achieved an accuracy of 95.5% for Class 1, 86.9% for Class 2 and 89.2% for Class 3. Finally, we evaluated the correlation of all methods with an independent dataset by using a MMC. The result showed that the MMC yielded an average of 0.89 for Class 1, 0.42 for Class 2 and 0.77 for Class 3 using independent dataset tests. </w:t>
      </w:r>
    </w:p>
    <w:p>
      <w:pPr>
        <w:pStyle w:val="Caption1"/>
        <w:spacing w:lineRule="auto" w:line="360" w:before="0" w:after="0"/>
        <w:rPr>
          <w:rFonts w:cs="Times New Roman"/>
          <w:bCs/>
          <w:szCs w:val="24"/>
          <w:lang w:eastAsia="zh-TW"/>
        </w:rPr>
      </w:pPr>
      <w:bookmarkStart w:id="108" w:name="_Toc454736521"/>
      <w:r>
        <w:rPr>
          <w:b/>
        </w:rPr>
        <w:t xml:space="preserve">Table </w:t>
      </w:r>
      <w:r>
        <w:rPr>
          <w:b/>
        </w:rPr>
        <w:fldChar w:fldCharType="begin"/>
      </w:r>
      <w:r>
        <w:rPr>
          <w:b/>
        </w:rPr>
        <w:instrText> SEQ Table \* ARABIC </w:instrText>
      </w:r>
      <w:r>
        <w:rPr>
          <w:b/>
        </w:rPr>
        <w:fldChar w:fldCharType="separate"/>
      </w:r>
      <w:r>
        <w:rPr>
          <w:b/>
        </w:rPr>
        <w:t>6</w:t>
      </w:r>
      <w:r>
        <w:rPr>
          <w:b/>
        </w:rPr>
        <w:fldChar w:fldCharType="end"/>
      </w:r>
      <w:r>
        <w:rPr/>
        <w:t xml:space="preserve"> - Performance of Different Classifiers</w:t>
      </w:r>
      <w:r>
        <w:rPr>
          <w:rFonts w:cs="Times New Roman"/>
          <w:bCs/>
          <w:szCs w:val="24"/>
          <w:lang w:eastAsia="zh-TW"/>
        </w:rPr>
        <w:t xml:space="preserve"> in Class 1</w:t>
      </w:r>
      <w:bookmarkEnd w:id="108"/>
    </w:p>
    <w:tbl>
      <w:tblPr>
        <w:tblStyle w:val="TableGrid"/>
        <w:tblW w:w="5090" w:type="dxa"/>
        <w:jc w:val="center"/>
        <w:tblInd w:w="0" w:type="dxa"/>
        <w:tblCellMar>
          <w:top w:w="0" w:type="dxa"/>
          <w:left w:w="108" w:type="dxa"/>
          <w:bottom w:w="0" w:type="dxa"/>
          <w:right w:w="108" w:type="dxa"/>
        </w:tblCellMar>
        <w:tblLook w:firstRow="1" w:noVBand="1" w:lastRow="0" w:firstColumn="1" w:lastColumn="0" w:noHBand="0" w:val="04a0"/>
      </w:tblPr>
      <w:tblGrid>
        <w:gridCol w:w="1158"/>
        <w:gridCol w:w="1106"/>
        <w:gridCol w:w="1105"/>
        <w:gridCol w:w="1027"/>
        <w:gridCol w:w="694"/>
      </w:tblGrid>
      <w:tr>
        <w:trPr/>
        <w:tc>
          <w:tcPr>
            <w:tcW w:w="1158"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Classifier</w:t>
            </w:r>
          </w:p>
        </w:tc>
        <w:tc>
          <w:tcPr>
            <w:tcW w:w="1106"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Sensitivity</w:t>
            </w:r>
          </w:p>
        </w:tc>
        <w:tc>
          <w:tcPr>
            <w:tcW w:w="1105"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Specificity</w:t>
            </w:r>
          </w:p>
        </w:tc>
        <w:tc>
          <w:tcPr>
            <w:tcW w:w="1027"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Accuracy</w:t>
            </w:r>
          </w:p>
        </w:tc>
        <w:tc>
          <w:tcPr>
            <w:tcW w:w="694"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MCC</w:t>
            </w:r>
          </w:p>
        </w:tc>
      </w:tr>
      <w:tr>
        <w:trPr/>
        <w:tc>
          <w:tcPr>
            <w:tcW w:w="5090" w:type="dxa"/>
            <w:gridSpan w:val="5"/>
            <w:tcBorders>
              <w:left w:val="nil"/>
              <w:bottom w:val="nil"/>
              <w:right w:val="nil"/>
              <w:insideH w:val="nil"/>
              <w:insideV w:val="nil"/>
            </w:tcBorders>
            <w:shd w:fill="auto" w:val="clear"/>
            <w:vAlign w:val="center"/>
          </w:tcPr>
          <w:p>
            <w:pPr>
              <w:pStyle w:val="Normal"/>
              <w:spacing w:lineRule="auto" w:line="240" w:before="0" w:after="0"/>
              <w:jc w:val="right"/>
              <w:rPr>
                <w:rFonts w:cs="Times New Roman"/>
                <w:b/>
                <w:b/>
                <w:bCs/>
                <w:color w:val="000000" w:themeColor="text1"/>
                <w:sz w:val="16"/>
                <w:szCs w:val="16"/>
              </w:rPr>
            </w:pPr>
            <w:r>
              <w:rPr>
                <w:rFonts w:cs="Times New Roman"/>
                <w:b/>
                <w:bCs/>
                <w:color w:val="000000" w:themeColor="text1"/>
                <w:kern w:val="2"/>
                <w:sz w:val="16"/>
                <w:szCs w:val="16"/>
                <w:lang w:eastAsia="zh-TW"/>
              </w:rPr>
              <w:t>Cross Validation</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RandomForest</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94.5</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98.9</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96.6</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0.933</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LibSVM</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96.1</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77.9</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86.9</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0.753</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NaiveBayes</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82.4</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91.1</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86.2</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0.729</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KNN</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75.5</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96.3</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82.9</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0.687</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QuickRBF</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97.1</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95.3</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96.2</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0.924</w:t>
            </w:r>
          </w:p>
        </w:tc>
      </w:tr>
      <w:tr>
        <w:trPr/>
        <w:tc>
          <w:tcPr>
            <w:tcW w:w="5090" w:type="dxa"/>
            <w:gridSpan w:val="5"/>
            <w:tcBorders>
              <w:top w:val="nil"/>
              <w:left w:val="nil"/>
              <w:bottom w:val="nil"/>
              <w:right w:val="nil"/>
              <w:insideH w:val="nil"/>
              <w:insideV w:val="nil"/>
            </w:tcBorders>
            <w:shd w:fill="auto" w:val="clear"/>
            <w:vAlign w:val="center"/>
          </w:tcPr>
          <w:p>
            <w:pPr>
              <w:pStyle w:val="Normal"/>
              <w:spacing w:lineRule="auto" w:line="240" w:before="0" w:after="0"/>
              <w:jc w:val="right"/>
              <w:rPr>
                <w:rFonts w:cs="Times New Roman"/>
                <w:bCs/>
                <w:color w:val="000000" w:themeColor="text1"/>
                <w:sz w:val="16"/>
                <w:szCs w:val="16"/>
              </w:rPr>
            </w:pPr>
            <w:r>
              <w:rPr>
                <w:rFonts w:cs="Times New Roman"/>
                <w:b/>
                <w:color w:val="000000" w:themeColor="text1"/>
                <w:kern w:val="2"/>
                <w:sz w:val="16"/>
                <w:szCs w:val="16"/>
                <w:lang w:eastAsia="zh-TW"/>
              </w:rPr>
              <w:t>Independent Dataset</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RandomForest</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88.4</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91</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90.3</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0.76</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LibSVM</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90</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84.9</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86.4</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0.7</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NaiveBayes</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58.2</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89.9</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77.8</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0.52</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KNN</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56.1</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95.8</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77.3</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0.57</w:t>
            </w:r>
          </w:p>
        </w:tc>
      </w:tr>
      <w:tr>
        <w:trPr/>
        <w:tc>
          <w:tcPr>
            <w:tcW w:w="1158" w:type="dxa"/>
            <w:tcBorders>
              <w:top w:val="nil"/>
              <w:left w:val="nil"/>
              <w:right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QuickRBF</w:t>
            </w:r>
          </w:p>
        </w:tc>
        <w:tc>
          <w:tcPr>
            <w:tcW w:w="1106"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90</w:t>
            </w:r>
          </w:p>
        </w:tc>
        <w:tc>
          <w:tcPr>
            <w:tcW w:w="1105"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97.6</w:t>
            </w:r>
          </w:p>
        </w:tc>
        <w:tc>
          <w:tcPr>
            <w:tcW w:w="1027"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95.5</w:t>
            </w:r>
          </w:p>
        </w:tc>
        <w:tc>
          <w:tcPr>
            <w:tcW w:w="694"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0.89</w:t>
            </w:r>
          </w:p>
        </w:tc>
      </w:tr>
    </w:tbl>
    <w:p>
      <w:pPr>
        <w:pStyle w:val="Caption1"/>
        <w:spacing w:lineRule="auto" w:line="360" w:before="0" w:after="0"/>
        <w:rPr>
          <w:rFonts w:cs="Times New Roman"/>
          <w:bCs/>
          <w:szCs w:val="24"/>
          <w:lang w:eastAsia="zh-TW"/>
        </w:rPr>
      </w:pPr>
      <w:bookmarkStart w:id="109" w:name="_Toc454736522"/>
      <w:r>
        <w:rPr>
          <w:b/>
        </w:rPr>
        <w:t xml:space="preserve">Table </w:t>
      </w:r>
      <w:r>
        <w:rPr>
          <w:b/>
        </w:rPr>
        <w:fldChar w:fldCharType="begin"/>
      </w:r>
      <w:r>
        <w:rPr>
          <w:b/>
        </w:rPr>
        <w:instrText> SEQ Table \* ARABIC </w:instrText>
      </w:r>
      <w:r>
        <w:rPr>
          <w:b/>
        </w:rPr>
        <w:fldChar w:fldCharType="separate"/>
      </w:r>
      <w:r>
        <w:rPr>
          <w:b/>
        </w:rPr>
        <w:t>7</w:t>
      </w:r>
      <w:r>
        <w:rPr>
          <w:b/>
        </w:rPr>
        <w:fldChar w:fldCharType="end"/>
      </w:r>
      <w:r>
        <w:rPr/>
        <w:t xml:space="preserve"> - Performance of Different Classifiers</w:t>
      </w:r>
      <w:r>
        <w:rPr>
          <w:rFonts w:cs="Times New Roman"/>
          <w:bCs/>
          <w:szCs w:val="24"/>
          <w:lang w:eastAsia="zh-TW"/>
        </w:rPr>
        <w:t xml:space="preserve"> in Class 2</w:t>
      </w:r>
      <w:bookmarkEnd w:id="109"/>
    </w:p>
    <w:tbl>
      <w:tblPr>
        <w:tblStyle w:val="TableGrid"/>
        <w:tblW w:w="5090" w:type="dxa"/>
        <w:jc w:val="center"/>
        <w:tblInd w:w="0" w:type="dxa"/>
        <w:tblCellMar>
          <w:top w:w="0" w:type="dxa"/>
          <w:left w:w="108" w:type="dxa"/>
          <w:bottom w:w="0" w:type="dxa"/>
          <w:right w:w="108" w:type="dxa"/>
        </w:tblCellMar>
        <w:tblLook w:firstRow="1" w:noVBand="1" w:lastRow="0" w:firstColumn="1" w:lastColumn="0" w:noHBand="0" w:val="04a0"/>
      </w:tblPr>
      <w:tblGrid>
        <w:gridCol w:w="1158"/>
        <w:gridCol w:w="1106"/>
        <w:gridCol w:w="1105"/>
        <w:gridCol w:w="1027"/>
        <w:gridCol w:w="694"/>
      </w:tblGrid>
      <w:tr>
        <w:trPr/>
        <w:tc>
          <w:tcPr>
            <w:tcW w:w="1158"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Classifier</w:t>
            </w:r>
          </w:p>
        </w:tc>
        <w:tc>
          <w:tcPr>
            <w:tcW w:w="1106"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Sensitivity</w:t>
            </w:r>
          </w:p>
        </w:tc>
        <w:tc>
          <w:tcPr>
            <w:tcW w:w="1105"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Specificity</w:t>
            </w:r>
          </w:p>
        </w:tc>
        <w:tc>
          <w:tcPr>
            <w:tcW w:w="1027"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Accuracy</w:t>
            </w:r>
          </w:p>
        </w:tc>
        <w:tc>
          <w:tcPr>
            <w:tcW w:w="694"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MCC</w:t>
            </w:r>
          </w:p>
        </w:tc>
      </w:tr>
      <w:tr>
        <w:trPr/>
        <w:tc>
          <w:tcPr>
            <w:tcW w:w="5090" w:type="dxa"/>
            <w:gridSpan w:val="5"/>
            <w:tcBorders>
              <w:left w:val="nil"/>
              <w:bottom w:val="nil"/>
              <w:right w:val="nil"/>
              <w:insideH w:val="nil"/>
              <w:insideV w:val="nil"/>
            </w:tcBorders>
            <w:shd w:fill="auto" w:val="clear"/>
            <w:vAlign w:val="center"/>
          </w:tcPr>
          <w:p>
            <w:pPr>
              <w:pStyle w:val="Normal"/>
              <w:spacing w:lineRule="auto" w:line="240" w:before="0" w:after="0"/>
              <w:jc w:val="right"/>
              <w:rPr>
                <w:rFonts w:cs="Times New Roman"/>
                <w:b/>
                <w:b/>
                <w:bCs/>
                <w:color w:val="000000" w:themeColor="text1"/>
                <w:sz w:val="16"/>
                <w:szCs w:val="16"/>
              </w:rPr>
            </w:pPr>
            <w:r>
              <w:rPr>
                <w:rFonts w:cs="Times New Roman"/>
                <w:b/>
                <w:bCs/>
                <w:color w:val="000000" w:themeColor="text1"/>
                <w:kern w:val="2"/>
                <w:sz w:val="16"/>
                <w:szCs w:val="16"/>
                <w:lang w:eastAsia="zh-TW"/>
              </w:rPr>
              <w:t>Cross Validation</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RandomForest</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99.6</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100</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99.8</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0.996</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LibSVM</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94.2</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81.3</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87.7</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0.762</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NaiveBayes</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86.8</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88.3</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87.5</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0.751</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KNN</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75.2</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100</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83.6</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0.711</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QuickRBF</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91.6</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91.8</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91.7</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0.834</w:t>
            </w:r>
          </w:p>
        </w:tc>
      </w:tr>
      <w:tr>
        <w:trPr/>
        <w:tc>
          <w:tcPr>
            <w:tcW w:w="5090" w:type="dxa"/>
            <w:gridSpan w:val="5"/>
            <w:tcBorders>
              <w:top w:val="nil"/>
              <w:left w:val="nil"/>
              <w:bottom w:val="nil"/>
              <w:right w:val="nil"/>
              <w:insideH w:val="nil"/>
              <w:insideV w:val="nil"/>
            </w:tcBorders>
            <w:shd w:fill="auto" w:val="clear"/>
            <w:vAlign w:val="center"/>
          </w:tcPr>
          <w:p>
            <w:pPr>
              <w:pStyle w:val="Normal"/>
              <w:spacing w:lineRule="auto" w:line="240" w:before="0" w:after="0"/>
              <w:jc w:val="right"/>
              <w:rPr>
                <w:rFonts w:cs="Times New Roman"/>
                <w:bCs/>
                <w:color w:val="000000" w:themeColor="text1"/>
                <w:sz w:val="16"/>
                <w:szCs w:val="16"/>
              </w:rPr>
            </w:pPr>
            <w:r>
              <w:rPr>
                <w:rFonts w:cs="Times New Roman"/>
                <w:b/>
                <w:color w:val="000000" w:themeColor="text1"/>
                <w:kern w:val="2"/>
                <w:sz w:val="16"/>
                <w:szCs w:val="16"/>
                <w:lang w:eastAsia="zh-TW"/>
              </w:rPr>
              <w:t>Independent Dataset</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RandomForest</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60</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95.9</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94.9</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0.4</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LibSVM</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80</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83.1</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83</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0.36</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NaiveBayes</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11.6</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98.1</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64.2</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0.21</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KNN</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19.4</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97.1</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83.5</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0.27</w:t>
            </w:r>
          </w:p>
        </w:tc>
      </w:tr>
      <w:tr>
        <w:trPr/>
        <w:tc>
          <w:tcPr>
            <w:tcW w:w="1158" w:type="dxa"/>
            <w:tcBorders>
              <w:top w:val="nil"/>
              <w:left w:val="nil"/>
              <w:right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QuickRBF</w:t>
            </w:r>
          </w:p>
        </w:tc>
        <w:tc>
          <w:tcPr>
            <w:tcW w:w="1106"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80</w:t>
            </w:r>
          </w:p>
        </w:tc>
        <w:tc>
          <w:tcPr>
            <w:tcW w:w="1105"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87.4</w:t>
            </w:r>
          </w:p>
        </w:tc>
        <w:tc>
          <w:tcPr>
            <w:tcW w:w="1027"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86.9</w:t>
            </w:r>
          </w:p>
        </w:tc>
        <w:tc>
          <w:tcPr>
            <w:tcW w:w="694"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0.42</w:t>
            </w:r>
          </w:p>
        </w:tc>
      </w:tr>
    </w:tbl>
    <w:p>
      <w:pPr>
        <w:pStyle w:val="Caption1"/>
        <w:spacing w:lineRule="auto" w:line="360" w:before="0" w:after="0"/>
        <w:rPr>
          <w:rFonts w:cs="Times New Roman"/>
          <w:bCs/>
          <w:szCs w:val="24"/>
          <w:lang w:eastAsia="zh-TW"/>
        </w:rPr>
      </w:pPr>
      <w:bookmarkStart w:id="110" w:name="_Toc454736523"/>
      <w:r>
        <w:rPr>
          <w:b/>
        </w:rPr>
        <w:t xml:space="preserve">Table </w:t>
      </w:r>
      <w:r>
        <w:rPr>
          <w:b/>
        </w:rPr>
        <w:fldChar w:fldCharType="begin"/>
      </w:r>
      <w:r>
        <w:rPr>
          <w:b/>
        </w:rPr>
        <w:instrText> SEQ Table \* ARABIC </w:instrText>
      </w:r>
      <w:r>
        <w:rPr>
          <w:b/>
        </w:rPr>
        <w:fldChar w:fldCharType="separate"/>
      </w:r>
      <w:r>
        <w:rPr>
          <w:b/>
        </w:rPr>
        <w:t>8</w:t>
      </w:r>
      <w:r>
        <w:rPr>
          <w:b/>
        </w:rPr>
        <w:fldChar w:fldCharType="end"/>
      </w:r>
      <w:r>
        <w:rPr/>
        <w:t xml:space="preserve"> - Performance of Different Classifiers</w:t>
      </w:r>
      <w:r>
        <w:rPr>
          <w:rFonts w:cs="Times New Roman"/>
          <w:bCs/>
          <w:szCs w:val="24"/>
          <w:lang w:eastAsia="zh-TW"/>
        </w:rPr>
        <w:t xml:space="preserve"> in Class 3</w:t>
      </w:r>
      <w:bookmarkEnd w:id="110"/>
    </w:p>
    <w:tbl>
      <w:tblPr>
        <w:tblStyle w:val="TableGrid"/>
        <w:tblW w:w="5090" w:type="dxa"/>
        <w:jc w:val="center"/>
        <w:tblInd w:w="0" w:type="dxa"/>
        <w:tblCellMar>
          <w:top w:w="0" w:type="dxa"/>
          <w:left w:w="108" w:type="dxa"/>
          <w:bottom w:w="0" w:type="dxa"/>
          <w:right w:w="108" w:type="dxa"/>
        </w:tblCellMar>
        <w:tblLook w:firstRow="1" w:noVBand="1" w:lastRow="0" w:firstColumn="1" w:lastColumn="0" w:noHBand="0" w:val="04a0"/>
      </w:tblPr>
      <w:tblGrid>
        <w:gridCol w:w="1158"/>
        <w:gridCol w:w="1106"/>
        <w:gridCol w:w="1105"/>
        <w:gridCol w:w="1027"/>
        <w:gridCol w:w="694"/>
      </w:tblGrid>
      <w:tr>
        <w:trPr/>
        <w:tc>
          <w:tcPr>
            <w:tcW w:w="1158"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Classifier</w:t>
            </w:r>
          </w:p>
        </w:tc>
        <w:tc>
          <w:tcPr>
            <w:tcW w:w="1106"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Sensitivity</w:t>
            </w:r>
          </w:p>
        </w:tc>
        <w:tc>
          <w:tcPr>
            <w:tcW w:w="1105"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Specificity</w:t>
            </w:r>
          </w:p>
        </w:tc>
        <w:tc>
          <w:tcPr>
            <w:tcW w:w="1027"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Accuracy</w:t>
            </w:r>
          </w:p>
        </w:tc>
        <w:tc>
          <w:tcPr>
            <w:tcW w:w="694" w:type="dxa"/>
            <w:tcBorders>
              <w:left w:val="nil"/>
              <w:right w:val="nil"/>
              <w:insideV w:val="nil"/>
            </w:tcBorders>
            <w:shd w:fill="auto" w:val="clear"/>
            <w:vAlign w:val="center"/>
          </w:tcPr>
          <w:p>
            <w:pPr>
              <w:pStyle w:val="Normal"/>
              <w:spacing w:lineRule="auto" w:line="240" w:before="0" w:after="0"/>
              <w:jc w:val="center"/>
              <w:rPr>
                <w:rFonts w:cs="Times New Roman"/>
                <w:b/>
                <w:b/>
                <w:bCs/>
                <w:color w:val="000000" w:themeColor="text1"/>
                <w:sz w:val="20"/>
                <w:szCs w:val="20"/>
              </w:rPr>
            </w:pPr>
            <w:r>
              <w:rPr>
                <w:rFonts w:cs="Times New Roman"/>
                <w:b/>
                <w:bCs/>
                <w:color w:val="000000" w:themeColor="text1"/>
                <w:kern w:val="2"/>
                <w:sz w:val="20"/>
                <w:szCs w:val="20"/>
                <w:lang w:eastAsia="zh-TW"/>
              </w:rPr>
              <w:t>MCC</w:t>
            </w:r>
          </w:p>
        </w:tc>
      </w:tr>
      <w:tr>
        <w:trPr/>
        <w:tc>
          <w:tcPr>
            <w:tcW w:w="5090" w:type="dxa"/>
            <w:gridSpan w:val="5"/>
            <w:tcBorders>
              <w:left w:val="nil"/>
              <w:bottom w:val="nil"/>
              <w:right w:val="nil"/>
              <w:insideH w:val="nil"/>
              <w:insideV w:val="nil"/>
            </w:tcBorders>
            <w:shd w:fill="auto" w:val="clear"/>
            <w:vAlign w:val="center"/>
          </w:tcPr>
          <w:p>
            <w:pPr>
              <w:pStyle w:val="Normal"/>
              <w:spacing w:lineRule="auto" w:line="240" w:before="0" w:after="0"/>
              <w:jc w:val="right"/>
              <w:rPr>
                <w:rFonts w:cs="Times New Roman"/>
                <w:b/>
                <w:b/>
                <w:bCs/>
                <w:color w:val="000000" w:themeColor="text1"/>
                <w:sz w:val="16"/>
                <w:szCs w:val="16"/>
              </w:rPr>
            </w:pPr>
            <w:r>
              <w:rPr>
                <w:rFonts w:cs="Times New Roman"/>
                <w:b/>
                <w:bCs/>
                <w:color w:val="000000" w:themeColor="text1"/>
                <w:kern w:val="2"/>
                <w:sz w:val="16"/>
                <w:szCs w:val="16"/>
                <w:lang w:eastAsia="zh-TW"/>
              </w:rPr>
              <w:t>Cross Validation</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RandomForest</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92.3</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92.5</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92.4</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0.848</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LibSVM</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74.3</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83.8</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79.8</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0.585</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NaiveBayes</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81.8</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78.7</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80.2</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0.604</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KNN</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90.4</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79.2</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83.9</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0.687</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QuickRBF</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95.1</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94.8</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94.9</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0.899</w:t>
            </w:r>
          </w:p>
        </w:tc>
      </w:tr>
      <w:tr>
        <w:trPr/>
        <w:tc>
          <w:tcPr>
            <w:tcW w:w="5090" w:type="dxa"/>
            <w:gridSpan w:val="5"/>
            <w:tcBorders>
              <w:top w:val="nil"/>
              <w:left w:val="nil"/>
              <w:bottom w:val="nil"/>
              <w:right w:val="nil"/>
              <w:insideH w:val="nil"/>
              <w:insideV w:val="nil"/>
            </w:tcBorders>
            <w:shd w:fill="auto" w:val="clear"/>
            <w:vAlign w:val="center"/>
          </w:tcPr>
          <w:p>
            <w:pPr>
              <w:pStyle w:val="Normal"/>
              <w:spacing w:lineRule="auto" w:line="240" w:before="0" w:after="0"/>
              <w:jc w:val="right"/>
              <w:rPr>
                <w:rFonts w:cs="Times New Roman"/>
                <w:bCs/>
                <w:color w:val="000000" w:themeColor="text1"/>
                <w:sz w:val="16"/>
                <w:szCs w:val="16"/>
              </w:rPr>
            </w:pPr>
            <w:r>
              <w:rPr>
                <w:rFonts w:cs="Times New Roman"/>
                <w:b/>
                <w:color w:val="000000" w:themeColor="text1"/>
                <w:kern w:val="2"/>
                <w:sz w:val="16"/>
                <w:szCs w:val="16"/>
                <w:lang w:eastAsia="zh-TW"/>
              </w:rPr>
              <w:t>Independent Dataset</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RandomForest</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88.5</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85.2</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87.5</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0.72</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LibSVM</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80.2</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78.3</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79.6</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0.57</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NaiveBayes</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85.3</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56.8</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72.2</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0.44</w:t>
            </w:r>
          </w:p>
        </w:tc>
      </w:tr>
      <w:tr>
        <w:trPr/>
        <w:tc>
          <w:tcPr>
            <w:tcW w:w="1158" w:type="dxa"/>
            <w:tcBorders>
              <w:top w:val="nil"/>
              <w:left w:val="nil"/>
              <w:bottom w:val="nil"/>
              <w:right w:val="nil"/>
              <w:insideH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KNN</w:t>
            </w:r>
          </w:p>
        </w:tc>
        <w:tc>
          <w:tcPr>
            <w:tcW w:w="110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88.8</w:t>
            </w:r>
          </w:p>
        </w:tc>
        <w:tc>
          <w:tcPr>
            <w:tcW w:w="1105"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57.5</w:t>
            </w:r>
          </w:p>
        </w:tc>
        <w:tc>
          <w:tcPr>
            <w:tcW w:w="102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73.3</w:t>
            </w:r>
          </w:p>
        </w:tc>
        <w:tc>
          <w:tcPr>
            <w:tcW w:w="694" w:type="dxa"/>
            <w:tcBorders>
              <w:top w:val="nil"/>
              <w:left w:val="nil"/>
              <w:bottom w:val="nil"/>
              <w:right w:val="nil"/>
              <w:insideH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0.49</w:t>
            </w:r>
          </w:p>
        </w:tc>
      </w:tr>
      <w:tr>
        <w:trPr/>
        <w:tc>
          <w:tcPr>
            <w:tcW w:w="1158" w:type="dxa"/>
            <w:tcBorders>
              <w:top w:val="nil"/>
              <w:left w:val="nil"/>
              <w:right w:val="nil"/>
              <w:insideV w:val="nil"/>
            </w:tcBorders>
            <w:shd w:fill="auto" w:val="clear"/>
          </w:tcPr>
          <w:p>
            <w:pPr>
              <w:pStyle w:val="Normal"/>
              <w:spacing w:lineRule="auto" w:line="240" w:before="0" w:after="0"/>
              <w:rPr>
                <w:rFonts w:cs="Times New Roman"/>
                <w:sz w:val="16"/>
                <w:szCs w:val="16"/>
              </w:rPr>
            </w:pPr>
            <w:r>
              <w:rPr>
                <w:rFonts w:cs="Times New Roman"/>
                <w:kern w:val="2"/>
                <w:sz w:val="16"/>
                <w:szCs w:val="16"/>
                <w:lang w:eastAsia="zh-TW"/>
              </w:rPr>
              <w:t>QuickRBF</w:t>
            </w:r>
          </w:p>
        </w:tc>
        <w:tc>
          <w:tcPr>
            <w:tcW w:w="1106"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bCs/>
                <w:sz w:val="16"/>
                <w:szCs w:val="16"/>
              </w:rPr>
            </w:pPr>
            <w:r>
              <w:rPr>
                <w:rFonts w:cs="Calibri" w:ascii="Calibri" w:hAnsi="Calibri"/>
                <w:bCs/>
                <w:kern w:val="2"/>
                <w:sz w:val="16"/>
                <w:szCs w:val="16"/>
                <w:lang w:eastAsia="zh-TW"/>
              </w:rPr>
              <w:t>94.8</w:t>
            </w:r>
          </w:p>
        </w:tc>
        <w:tc>
          <w:tcPr>
            <w:tcW w:w="1105"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78.3</w:t>
            </w:r>
          </w:p>
        </w:tc>
        <w:tc>
          <w:tcPr>
            <w:tcW w:w="1027"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89.2</w:t>
            </w:r>
          </w:p>
        </w:tc>
        <w:tc>
          <w:tcPr>
            <w:tcW w:w="694" w:type="dxa"/>
            <w:tcBorders>
              <w:top w:val="nil"/>
              <w:left w:val="nil"/>
              <w:right w:val="nil"/>
              <w:insideV w:val="nil"/>
            </w:tcBorders>
            <w:shd w:fill="auto" w:val="clear"/>
            <w:vAlign w:val="center"/>
          </w:tcPr>
          <w:p>
            <w:pPr>
              <w:pStyle w:val="Normal"/>
              <w:spacing w:lineRule="auto" w:line="240" w:before="0" w:after="0"/>
              <w:jc w:val="center"/>
              <w:rPr>
                <w:rFonts w:ascii="Calibri" w:hAnsi="Calibri" w:cs="Calibri"/>
                <w:sz w:val="16"/>
                <w:szCs w:val="16"/>
              </w:rPr>
            </w:pPr>
            <w:r>
              <w:rPr>
                <w:rFonts w:cs="Calibri" w:ascii="Calibri" w:hAnsi="Calibri"/>
                <w:kern w:val="2"/>
                <w:sz w:val="16"/>
                <w:szCs w:val="16"/>
                <w:lang w:eastAsia="zh-TW"/>
              </w:rPr>
              <w:t>0.76</w:t>
            </w:r>
          </w:p>
        </w:tc>
      </w:tr>
    </w:tbl>
    <w:p>
      <w:pPr>
        <w:pStyle w:val="Normal"/>
        <w:spacing w:lineRule="auto" w:line="360"/>
        <w:rPr>
          <w:rFonts w:cs="Times New Roman"/>
          <w:bCs/>
          <w:color w:val="000000" w:themeColor="text1"/>
          <w:szCs w:val="24"/>
          <w:lang w:eastAsia="zh-TW"/>
        </w:rPr>
      </w:pPr>
      <w:r>
        <w:rPr>
          <w:rFonts w:cs="Times New Roman"/>
          <w:bCs/>
          <w:color w:val="000000" w:themeColor="text1"/>
          <w:szCs w:val="24"/>
          <w:lang w:eastAsia="zh-TW"/>
        </w:rPr>
      </w:r>
    </w:p>
    <w:p>
      <w:pPr>
        <w:pStyle w:val="Normal"/>
        <w:spacing w:lineRule="auto" w:line="360"/>
        <w:ind w:firstLine="720"/>
        <w:rPr>
          <w:rFonts w:cs="Times New Roman"/>
          <w:color w:val="000000" w:themeColor="text1"/>
          <w:szCs w:val="24"/>
          <w:lang w:eastAsia="zh-TW"/>
        </w:rPr>
      </w:pPr>
      <w:r>
        <w:rPr>
          <w:rFonts w:cs="Times New Roman"/>
          <w:bCs/>
          <w:color w:val="000000" w:themeColor="text1"/>
          <w:szCs w:val="24"/>
          <w:lang w:eastAsia="zh-TW"/>
        </w:rPr>
        <w:t>The results in the table 10, 11 and 12 above are the comparison performance of different all classifiers. Firstly, in fivefold cross validation data part, the result showed that the improvement classification in two binary classifications based on MMC for all classifiers. We evaluated the performance of true positive rate (sensitivity) and true negative rate (specificity) yielded an average of 97.1% and 95.3 for Class 1 using QuickRBF, 91.6% and 91.8% for Class 2 using QuickRBF and 95.1% and 94.8% for Class 3 using QuickRBF with fivefold cross validation dataset tests. We achieved an accuracy of 96.2% for Class 1, 91.7% for Class 2 and 94.9% for Class 3 using QuickRBF. Also, we evaluated the correlation of all classifiers with a training dataset by using a matthews’s correlation coefficient. The result showed that the MMC yielded an average of 0.92 for Class 1, 0.83 for Class 2 and 0.89 for Class 3.</w:t>
      </w:r>
    </w:p>
    <w:p>
      <w:pPr>
        <w:pStyle w:val="Normal"/>
        <w:spacing w:lineRule="auto" w:line="360"/>
        <w:rPr>
          <w:rFonts w:cs="Times New Roman"/>
          <w:color w:val="000000" w:themeColor="text1"/>
          <w:szCs w:val="24"/>
          <w:lang w:eastAsia="zh-TW"/>
        </w:rPr>
      </w:pPr>
      <w:r>
        <w:rPr>
          <w:rFonts w:cs="Times New Roman"/>
          <w:color w:val="000000" w:themeColor="text1"/>
          <w:szCs w:val="24"/>
          <w:lang w:eastAsia="zh-TW"/>
        </w:rPr>
        <w:tab/>
        <w:t>In independent test data part, we evaluated the performance of true positive rate (sensitivity) and true negative rate (specificity) yielded an average of 90.0% and 97.6% for Class 1, 80.0% and 87.3% for Class 2 and 94.8% and 78.3 for Class 3 using independent dataset tests. We achieved an accuracy of 95.5% for Class 1, 86.9% for Class 2 and 89.2% for Class 3. The result showed that the MMC yielded an average of 0.89 for Class 1, 0.42 for Class 2 and 0.77 for Class 3 using independent dataset tests.</w:t>
      </w:r>
    </w:p>
    <w:p>
      <w:pPr>
        <w:pStyle w:val="Normal"/>
        <w:spacing w:lineRule="auto" w:line="360"/>
        <w:rPr>
          <w:rFonts w:cs="Times New Roman"/>
          <w:color w:val="000000" w:themeColor="text1"/>
          <w:szCs w:val="24"/>
          <w:lang w:eastAsia="zh-TW"/>
        </w:rPr>
      </w:pPr>
      <w:r>
        <w:rPr>
          <w:rFonts w:cs="Times New Roman"/>
          <w:color w:val="000000" w:themeColor="text1"/>
          <w:szCs w:val="24"/>
          <w:lang w:eastAsia="zh-TW"/>
        </w:rPr>
      </w:r>
    </w:p>
    <w:p>
      <w:pPr>
        <w:pStyle w:val="Heading2"/>
        <w:rPr>
          <w:lang w:eastAsia="zh-TW"/>
        </w:rPr>
      </w:pPr>
      <w:bookmarkStart w:id="111" w:name="__RefHeading___Toc27396_277794404"/>
      <w:bookmarkStart w:id="112" w:name="_Toc455040217"/>
      <w:bookmarkEnd w:id="111"/>
      <w:r>
        <w:rPr>
          <w:lang w:eastAsia="zh-TW"/>
        </w:rPr>
        <w:t>4.3. Four Parts of Selected 100 Amino Acid Sequences</w:t>
      </w:r>
      <w:bookmarkEnd w:id="112"/>
    </w:p>
    <w:p>
      <w:pPr>
        <w:pStyle w:val="Normal"/>
        <w:spacing w:lineRule="auto" w:line="360"/>
        <w:ind w:firstLine="720"/>
        <w:rPr>
          <w:rFonts w:cs="Times New Roman"/>
          <w:szCs w:val="24"/>
          <w:lang w:eastAsia="zh-TW"/>
        </w:rPr>
      </w:pPr>
      <w:r>
        <w:rPr>
          <w:rFonts w:cs="Times New Roman"/>
          <w:szCs w:val="24"/>
          <w:lang w:eastAsia="zh-TW"/>
        </w:rPr>
        <w:t xml:space="preserve">In this analysis, we selected 100 amino acid sequences of protein sequences and divided it into four parts. The key idea of a four-part sequence analysis is to select one of the four part analysis have the F-score information. The columns of table correspond to the AAindex accession number and the description of each F-score value for each part. F-score information is in the position of 25% part, with the high F-score value of 0.165. The description of 20 selected AAindex properties and their data visualizations as follows below:  </w:t>
      </w:r>
    </w:p>
    <w:p>
      <w:pPr>
        <w:pStyle w:val="Caption1"/>
        <w:spacing w:lineRule="auto" w:line="360" w:before="0" w:after="0"/>
        <w:rPr>
          <w:szCs w:val="24"/>
        </w:rPr>
      </w:pPr>
      <w:bookmarkStart w:id="113" w:name="_Toc454736524"/>
      <w:r>
        <w:rPr>
          <w:b/>
          <w:szCs w:val="24"/>
        </w:rPr>
        <w:t xml:space="preserve">Table </w:t>
      </w:r>
      <w:r>
        <w:rPr>
          <w:b/>
          <w:szCs w:val="24"/>
        </w:rPr>
        <w:fldChar w:fldCharType="begin"/>
      </w:r>
      <w:r>
        <w:rPr>
          <w:b/>
          <w:szCs w:val="24"/>
        </w:rPr>
        <w:instrText> SEQ Table \* ARABIC </w:instrText>
      </w:r>
      <w:r>
        <w:rPr>
          <w:b/>
          <w:szCs w:val="24"/>
        </w:rPr>
        <w:fldChar w:fldCharType="separate"/>
      </w:r>
      <w:r>
        <w:rPr>
          <w:b/>
          <w:szCs w:val="24"/>
        </w:rPr>
        <w:t>9</w:t>
      </w:r>
      <w:r>
        <w:rPr>
          <w:b/>
          <w:szCs w:val="24"/>
        </w:rPr>
        <w:fldChar w:fldCharType="end"/>
      </w:r>
      <w:r>
        <w:rPr>
          <w:szCs w:val="24"/>
        </w:rPr>
        <w:t xml:space="preserve"> - </w:t>
      </w:r>
      <w:r>
        <w:rPr>
          <w:color w:val="000000"/>
          <w:szCs w:val="24"/>
        </w:rPr>
        <w:t>20 selected Amino Acid Indices in Class 1</w:t>
      </w:r>
      <w:bookmarkEnd w:id="113"/>
    </w:p>
    <w:tbl>
      <w:tblPr>
        <w:tblStyle w:val="LightList-Accent1"/>
        <w:tblW w:w="5625" w:type="dxa"/>
        <w:jc w:val="center"/>
        <w:tblInd w:w="0" w:type="dxa"/>
        <w:tblCellMar>
          <w:top w:w="0" w:type="dxa"/>
          <w:left w:w="108" w:type="dxa"/>
          <w:bottom w:w="0" w:type="dxa"/>
          <w:right w:w="108" w:type="dxa"/>
        </w:tblCellMar>
        <w:tblLook w:firstRow="1" w:noVBand="0" w:lastRow="0" w:firstColumn="1" w:lastColumn="0" w:noHBand="0" w:val="00a0"/>
      </w:tblPr>
      <w:tblGrid>
        <w:gridCol w:w="1497"/>
        <w:gridCol w:w="1032"/>
        <w:gridCol w:w="1032"/>
        <w:gridCol w:w="1031"/>
        <w:gridCol w:w="1033"/>
      </w:tblGrid>
      <w:tr>
        <w:trPr>
          <w:trHeight w:val="57" w:hRule="atLeast"/>
          <w:cnfStyle w:val="100000000000" w:firstRow="1" w:lastRow="0" w:firstColumn="0" w:lastColumn="0" w:oddVBand="0" w:evenVBand="0" w:oddHBand="0"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rPr>
                <w:rFonts w:eastAsia="Calibri" w:cs="Times New Roman" w:eastAsiaTheme="minorHAnsi"/>
                <w:color w:val="000000"/>
                <w:sz w:val="20"/>
                <w:szCs w:val="20"/>
                <w:lang w:eastAsia="en-US"/>
              </w:rPr>
            </w:pPr>
            <w:r>
              <w:rPr>
                <w:rFonts w:eastAsia="Calibri" w:cs="Times New Roman" w:eastAsiaTheme="minorHAnsi"/>
                <w:b/>
                <w:bCs/>
                <w:color w:val="000000"/>
                <w:sz w:val="20"/>
                <w:szCs w:val="20"/>
                <w:lang w:eastAsia="en-US"/>
              </w:rPr>
              <w:t>AAindex</w:t>
            </w:r>
          </w:p>
        </w:tc>
        <w:tc>
          <w:tcPr>
            <w:tcW w:w="1032" w:type="dxa"/>
            <w:cnfStyle w:val="000010000000" w:firstRow="0" w:lastRow="0" w:firstColumn="0" w:lastColumn="0" w:oddVBand="1" w:evenVBand="0" w:oddHBand="0" w:evenHBand="0" w:firstRowFirstColumn="0" w:firstRowLastColumn="0" w:lastRowFirstColumn="0" w:lastRowLastColumn="0"/>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rPr>
                <w:rFonts w:eastAsia="Calibri" w:cs="Times New Roman" w:eastAsiaTheme="minorHAnsi"/>
                <w:color w:val="000000"/>
                <w:sz w:val="20"/>
                <w:szCs w:val="20"/>
                <w:lang w:eastAsia="en-US"/>
              </w:rPr>
            </w:pPr>
            <w:r>
              <w:rPr>
                <w:rFonts w:eastAsia="Calibri" w:cs="Times New Roman" w:eastAsiaTheme="minorHAnsi"/>
                <w:b/>
                <w:bCs/>
                <w:color w:val="000000"/>
                <w:sz w:val="20"/>
                <w:szCs w:val="20"/>
                <w:lang w:eastAsia="en-US"/>
              </w:rPr>
              <w:t>1-25%</w:t>
            </w:r>
          </w:p>
        </w:tc>
        <w:tc>
          <w:tcPr>
            <w:tcW w:w="1032"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Calibri" w:cs="Times New Roman" w:eastAsiaTheme="minorHAnsi"/>
                <w:color w:val="000000"/>
                <w:sz w:val="20"/>
                <w:szCs w:val="20"/>
                <w:lang w:eastAsia="en-US"/>
              </w:rPr>
            </w:pPr>
            <w:r>
              <w:rPr>
                <w:rFonts w:eastAsia="Calibri" w:cs="Times New Roman" w:eastAsiaTheme="minorHAnsi"/>
                <w:b/>
                <w:bCs/>
                <w:color w:val="000000"/>
                <w:sz w:val="20"/>
                <w:szCs w:val="20"/>
                <w:lang w:eastAsia="en-US"/>
              </w:rPr>
              <w:t>26-50%</w:t>
            </w:r>
          </w:p>
        </w:tc>
        <w:tc>
          <w:tcPr>
            <w:tcW w:w="1031" w:type="dxa"/>
            <w:cnfStyle w:val="000010000000" w:firstRow="0" w:lastRow="0" w:firstColumn="0" w:lastColumn="0" w:oddVBand="1" w:evenVBand="0" w:oddHBand="0" w:evenHBand="0" w:firstRowFirstColumn="0" w:firstRowLastColumn="0" w:lastRowFirstColumn="0" w:lastRowLastColumn="0"/>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rPr>
                <w:rFonts w:eastAsia="Calibri" w:cs="Times New Roman" w:eastAsiaTheme="minorHAnsi"/>
                <w:color w:val="000000"/>
                <w:sz w:val="20"/>
                <w:szCs w:val="20"/>
                <w:lang w:eastAsia="en-US"/>
              </w:rPr>
            </w:pPr>
            <w:r>
              <w:rPr>
                <w:rFonts w:eastAsia="Calibri" w:cs="Times New Roman" w:eastAsiaTheme="minorHAnsi"/>
                <w:b/>
                <w:bCs/>
                <w:color w:val="000000"/>
                <w:sz w:val="20"/>
                <w:szCs w:val="20"/>
                <w:lang w:eastAsia="en-US"/>
              </w:rPr>
              <w:t>51-75%</w:t>
            </w:r>
          </w:p>
        </w:tc>
        <w:tc>
          <w:tcPr>
            <w:tcW w:w="1033"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Calibri" w:cs="Times New Roman" w:eastAsiaTheme="minorHAnsi"/>
                <w:color w:val="000000"/>
                <w:sz w:val="20"/>
                <w:szCs w:val="20"/>
                <w:lang w:eastAsia="en-US"/>
              </w:rPr>
            </w:pPr>
            <w:r>
              <w:rPr>
                <w:rFonts w:eastAsia="Calibri" w:cs="Times New Roman" w:eastAsiaTheme="minorHAnsi"/>
                <w:b/>
                <w:bCs/>
                <w:color w:val="000000"/>
                <w:sz w:val="20"/>
                <w:szCs w:val="20"/>
                <w:lang w:eastAsia="en-US"/>
              </w:rPr>
              <w:t>76-100%</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single" w:sz="4" w:space="0" w:color="00000A"/>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VASM830101</w:t>
            </w:r>
          </w:p>
        </w:tc>
        <w:tc>
          <w:tcPr>
            <w:tcW w:w="1032" w:type="dxa"/>
            <w:cnfStyle w:val="000010000000" w:firstRow="0" w:lastRow="0" w:firstColumn="0" w:lastColumn="0" w:oddVBand="1" w:evenVBand="0" w:oddHBand="0" w:evenHBand="0" w:firstRowFirstColumn="0" w:firstRowLastColumn="0" w:lastRowFirstColumn="0" w:lastRowLastColumn="0"/>
            <w:tcBorders>
              <w:top w:val="single" w:sz="4" w:space="0" w:color="00000A"/>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0.007585</w:t>
            </w:r>
          </w:p>
        </w:tc>
        <w:tc>
          <w:tcPr>
            <w:tcW w:w="1032" w:type="dxa"/>
            <w:tcBorders>
              <w:top w:val="single" w:sz="4" w:space="0" w:color="00000A"/>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8.70E-04</w:t>
            </w:r>
          </w:p>
        </w:tc>
        <w:tc>
          <w:tcPr>
            <w:tcW w:w="1031" w:type="dxa"/>
            <w:cnfStyle w:val="000010000000" w:firstRow="0" w:lastRow="0" w:firstColumn="0" w:lastColumn="0" w:oddVBand="1" w:evenVBand="0" w:oddHBand="0" w:evenHBand="0" w:firstRowFirstColumn="0" w:firstRowLastColumn="0" w:lastRowFirstColumn="0" w:lastRowLastColumn="0"/>
            <w:tcBorders>
              <w:top w:val="single" w:sz="4" w:space="0" w:color="00000A"/>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0.013385</w:t>
            </w:r>
          </w:p>
        </w:tc>
        <w:tc>
          <w:tcPr>
            <w:tcW w:w="1033" w:type="dxa"/>
            <w:tcBorders>
              <w:top w:val="single" w:sz="4" w:space="0" w:color="00000A"/>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0.026616</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AURR980111</w:t>
            </w:r>
          </w:p>
        </w:tc>
        <w:tc>
          <w:tcPr>
            <w:tcW w:w="1032"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0.015171</w:t>
            </w:r>
          </w:p>
        </w:tc>
        <w:tc>
          <w:tcPr>
            <w:tcW w:w="1032"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0.004458</w:t>
            </w:r>
          </w:p>
        </w:tc>
        <w:tc>
          <w:tcPr>
            <w:tcW w:w="1031"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0.003271</w:t>
            </w:r>
          </w:p>
        </w:tc>
        <w:tc>
          <w:tcPr>
            <w:tcW w:w="103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0.007299</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WERD780104</w:t>
            </w:r>
          </w:p>
        </w:tc>
        <w:tc>
          <w:tcPr>
            <w:tcW w:w="1032"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0.119049</w:t>
            </w:r>
          </w:p>
        </w:tc>
        <w:tc>
          <w:tcPr>
            <w:tcW w:w="1032"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0.003336</w:t>
            </w:r>
          </w:p>
        </w:tc>
        <w:tc>
          <w:tcPr>
            <w:tcW w:w="1031"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4.39E-05</w:t>
            </w:r>
          </w:p>
        </w:tc>
        <w:tc>
          <w:tcPr>
            <w:tcW w:w="103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0.001161</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AURR980106</w:t>
            </w:r>
          </w:p>
        </w:tc>
        <w:tc>
          <w:tcPr>
            <w:tcW w:w="1032"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0.088978</w:t>
            </w:r>
          </w:p>
        </w:tc>
        <w:tc>
          <w:tcPr>
            <w:tcW w:w="1032"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5.06E-05</w:t>
            </w:r>
          </w:p>
        </w:tc>
        <w:tc>
          <w:tcPr>
            <w:tcW w:w="1031"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0.004315</w:t>
            </w:r>
          </w:p>
        </w:tc>
        <w:tc>
          <w:tcPr>
            <w:tcW w:w="103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0.0396</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FUKS010104</w:t>
            </w:r>
          </w:p>
        </w:tc>
        <w:tc>
          <w:tcPr>
            <w:tcW w:w="1032"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0.107427</w:t>
            </w:r>
          </w:p>
        </w:tc>
        <w:tc>
          <w:tcPr>
            <w:tcW w:w="1032"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6.50E-05</w:t>
            </w:r>
          </w:p>
        </w:tc>
        <w:tc>
          <w:tcPr>
            <w:tcW w:w="1031"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6.09E-04</w:t>
            </w:r>
          </w:p>
        </w:tc>
        <w:tc>
          <w:tcPr>
            <w:tcW w:w="103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0.037644</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AURR980119</w:t>
            </w:r>
          </w:p>
        </w:tc>
        <w:tc>
          <w:tcPr>
            <w:tcW w:w="1032"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0.058113</w:t>
            </w:r>
          </w:p>
        </w:tc>
        <w:tc>
          <w:tcPr>
            <w:tcW w:w="1032"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0.007464</w:t>
            </w:r>
          </w:p>
        </w:tc>
        <w:tc>
          <w:tcPr>
            <w:tcW w:w="1031"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0.002766</w:t>
            </w:r>
          </w:p>
        </w:tc>
        <w:tc>
          <w:tcPr>
            <w:tcW w:w="103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0.038072</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PRAM900101</w:t>
            </w:r>
          </w:p>
        </w:tc>
        <w:tc>
          <w:tcPr>
            <w:tcW w:w="1032"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0.0945</w:t>
            </w:r>
          </w:p>
        </w:tc>
        <w:tc>
          <w:tcPr>
            <w:tcW w:w="1032"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0.002481</w:t>
            </w:r>
          </w:p>
        </w:tc>
        <w:tc>
          <w:tcPr>
            <w:tcW w:w="1031"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0.001078</w:t>
            </w:r>
          </w:p>
        </w:tc>
        <w:tc>
          <w:tcPr>
            <w:tcW w:w="103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0.061154</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JANJ780101</w:t>
            </w:r>
          </w:p>
        </w:tc>
        <w:tc>
          <w:tcPr>
            <w:tcW w:w="1032"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0.090067</w:t>
            </w:r>
          </w:p>
        </w:tc>
        <w:tc>
          <w:tcPr>
            <w:tcW w:w="1032"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0.001348</w:t>
            </w:r>
          </w:p>
        </w:tc>
        <w:tc>
          <w:tcPr>
            <w:tcW w:w="1031"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2.21E-04</w:t>
            </w:r>
          </w:p>
        </w:tc>
        <w:tc>
          <w:tcPr>
            <w:tcW w:w="103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0.069563</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FUKS010101</w:t>
            </w:r>
          </w:p>
        </w:tc>
        <w:tc>
          <w:tcPr>
            <w:tcW w:w="1032"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0.063039</w:t>
            </w:r>
          </w:p>
        </w:tc>
        <w:tc>
          <w:tcPr>
            <w:tcW w:w="1032"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0.001224</w:t>
            </w:r>
          </w:p>
        </w:tc>
        <w:tc>
          <w:tcPr>
            <w:tcW w:w="1031"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0.001371</w:t>
            </w:r>
          </w:p>
        </w:tc>
        <w:tc>
          <w:tcPr>
            <w:tcW w:w="103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0.022803</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JANJ780103</w:t>
            </w:r>
          </w:p>
        </w:tc>
        <w:tc>
          <w:tcPr>
            <w:tcW w:w="1032"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0.114396</w:t>
            </w:r>
          </w:p>
        </w:tc>
        <w:tc>
          <w:tcPr>
            <w:tcW w:w="1032"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0.001349</w:t>
            </w:r>
          </w:p>
        </w:tc>
        <w:tc>
          <w:tcPr>
            <w:tcW w:w="1031"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6.01E-05</w:t>
            </w:r>
          </w:p>
        </w:tc>
        <w:tc>
          <w:tcPr>
            <w:tcW w:w="103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0.070494</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JACR890101</w:t>
            </w:r>
          </w:p>
        </w:tc>
        <w:tc>
          <w:tcPr>
            <w:tcW w:w="1032"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0.048002</w:t>
            </w:r>
          </w:p>
        </w:tc>
        <w:tc>
          <w:tcPr>
            <w:tcW w:w="1032"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0.002297</w:t>
            </w:r>
          </w:p>
        </w:tc>
        <w:tc>
          <w:tcPr>
            <w:tcW w:w="1031"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0.001343</w:t>
            </w:r>
          </w:p>
        </w:tc>
        <w:tc>
          <w:tcPr>
            <w:tcW w:w="103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0.034883</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KRIW790102</w:t>
            </w:r>
          </w:p>
        </w:tc>
        <w:tc>
          <w:tcPr>
            <w:tcW w:w="1032"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0.134743</w:t>
            </w:r>
          </w:p>
        </w:tc>
        <w:tc>
          <w:tcPr>
            <w:tcW w:w="1032"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3.34E-04</w:t>
            </w:r>
          </w:p>
        </w:tc>
        <w:tc>
          <w:tcPr>
            <w:tcW w:w="1031"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0.003319</w:t>
            </w:r>
          </w:p>
        </w:tc>
        <w:tc>
          <w:tcPr>
            <w:tcW w:w="103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0.067826</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FUKS010102</w:t>
            </w:r>
          </w:p>
        </w:tc>
        <w:tc>
          <w:tcPr>
            <w:tcW w:w="1032"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0.096559</w:t>
            </w:r>
          </w:p>
        </w:tc>
        <w:tc>
          <w:tcPr>
            <w:tcW w:w="1032"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6.47E-04</w:t>
            </w:r>
          </w:p>
        </w:tc>
        <w:tc>
          <w:tcPr>
            <w:tcW w:w="1031"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8.10E-04</w:t>
            </w:r>
          </w:p>
        </w:tc>
        <w:tc>
          <w:tcPr>
            <w:tcW w:w="103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0.0332</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EISD860102</w:t>
            </w:r>
          </w:p>
        </w:tc>
        <w:tc>
          <w:tcPr>
            <w:tcW w:w="1032"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0.001844</w:t>
            </w:r>
          </w:p>
        </w:tc>
        <w:tc>
          <w:tcPr>
            <w:tcW w:w="1032"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1.88E-04</w:t>
            </w:r>
          </w:p>
        </w:tc>
        <w:tc>
          <w:tcPr>
            <w:tcW w:w="1031"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0.00202</w:t>
            </w:r>
          </w:p>
        </w:tc>
        <w:tc>
          <w:tcPr>
            <w:tcW w:w="103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0.022509</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ZIMJ680103</w:t>
            </w:r>
          </w:p>
        </w:tc>
        <w:tc>
          <w:tcPr>
            <w:tcW w:w="1032"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0.067629</w:t>
            </w:r>
          </w:p>
        </w:tc>
        <w:tc>
          <w:tcPr>
            <w:tcW w:w="1032"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0.001228</w:t>
            </w:r>
          </w:p>
        </w:tc>
        <w:tc>
          <w:tcPr>
            <w:tcW w:w="1031"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7.78E-04</w:t>
            </w:r>
          </w:p>
        </w:tc>
        <w:tc>
          <w:tcPr>
            <w:tcW w:w="103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0.03804</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RICJ880116</w:t>
            </w:r>
          </w:p>
        </w:tc>
        <w:tc>
          <w:tcPr>
            <w:tcW w:w="1032"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0.044457</w:t>
            </w:r>
          </w:p>
        </w:tc>
        <w:tc>
          <w:tcPr>
            <w:tcW w:w="1032"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0.011904</w:t>
            </w:r>
          </w:p>
        </w:tc>
        <w:tc>
          <w:tcPr>
            <w:tcW w:w="1031"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0.015197</w:t>
            </w:r>
          </w:p>
        </w:tc>
        <w:tc>
          <w:tcPr>
            <w:tcW w:w="103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0.029406</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DESM900102</w:t>
            </w:r>
          </w:p>
        </w:tc>
        <w:tc>
          <w:tcPr>
            <w:tcW w:w="1032"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0.164572</w:t>
            </w:r>
          </w:p>
        </w:tc>
        <w:tc>
          <w:tcPr>
            <w:tcW w:w="1032"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0.002665</w:t>
            </w:r>
          </w:p>
        </w:tc>
        <w:tc>
          <w:tcPr>
            <w:tcW w:w="1031"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6.52E-05</w:t>
            </w:r>
          </w:p>
        </w:tc>
        <w:tc>
          <w:tcPr>
            <w:tcW w:w="103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0.070562</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WOLS870103</w:t>
            </w:r>
          </w:p>
        </w:tc>
        <w:tc>
          <w:tcPr>
            <w:tcW w:w="1032"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0.041567</w:t>
            </w:r>
          </w:p>
        </w:tc>
        <w:tc>
          <w:tcPr>
            <w:tcW w:w="1032"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0.00383</w:t>
            </w:r>
          </w:p>
        </w:tc>
        <w:tc>
          <w:tcPr>
            <w:tcW w:w="1031" w:type="dxa"/>
            <w:cnfStyle w:val="000010000000" w:firstRow="0" w:lastRow="0" w:firstColumn="0" w:lastColumn="0" w:oddVBand="1" w:evenVBand="0" w:oddHBand="0" w:evenHBand="0" w:firstRowFirstColumn="0" w:firstRowLastColumn="0" w:lastRowFirstColumn="0" w:lastRowLastColumn="0"/>
            <w:tcBorders>
              <w:left w:val="nil"/>
              <w:right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0.00282</w:t>
            </w:r>
          </w:p>
        </w:tc>
        <w:tc>
          <w:tcPr>
            <w:tcW w:w="103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0.002304</w:t>
            </w:r>
          </w:p>
        </w:tc>
      </w:tr>
      <w:tr>
        <w:trPr>
          <w:trHeight w:val="57"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PARS000102</w:t>
            </w:r>
          </w:p>
        </w:tc>
        <w:tc>
          <w:tcPr>
            <w:tcW w:w="1032"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0.140231</w:t>
            </w:r>
          </w:p>
        </w:tc>
        <w:tc>
          <w:tcPr>
            <w:tcW w:w="1032"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7.39E-04</w:t>
            </w:r>
          </w:p>
        </w:tc>
        <w:tc>
          <w:tcPr>
            <w:tcW w:w="1031" w:type="dxa"/>
            <w:cnfStyle w:val="000010000000" w:firstRow="0" w:lastRow="0" w:firstColumn="0" w:lastColumn="0" w:oddVBand="1"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8.42E-04</w:t>
            </w:r>
          </w:p>
        </w:tc>
        <w:tc>
          <w:tcPr>
            <w:tcW w:w="103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0.051795</w:t>
            </w:r>
          </w:p>
        </w:tc>
      </w:tr>
      <w:tr>
        <w:trPr>
          <w:trHeight w:val="57"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rPr>
                <w:rFonts w:ascii="Calibri" w:hAnsi="Calibri" w:eastAsia="Calibri" w:cs="Calibri" w:eastAsiaTheme="minorHAnsi"/>
                <w:color w:val="000000"/>
                <w:sz w:val="16"/>
                <w:szCs w:val="16"/>
                <w:lang w:eastAsia="en-US"/>
              </w:rPr>
            </w:pPr>
            <w:r>
              <w:rPr>
                <w:rFonts w:eastAsia="Calibri" w:cs="Calibri" w:ascii="Calibri" w:hAnsi="Calibri" w:eastAsiaTheme="minorHAnsi"/>
                <w:b/>
                <w:bCs/>
                <w:color w:val="000000"/>
                <w:sz w:val="16"/>
                <w:szCs w:val="16"/>
                <w:lang w:eastAsia="en-US"/>
              </w:rPr>
              <w:t>KRIW790101</w:t>
            </w:r>
          </w:p>
        </w:tc>
        <w:tc>
          <w:tcPr>
            <w:tcW w:w="1032" w:type="dxa"/>
            <w:cnfStyle w:val="000010000000" w:firstRow="0" w:lastRow="0" w:firstColumn="0" w:lastColumn="0" w:oddVBand="1" w:evenVBand="0" w:oddHBand="0" w:evenHBand="0" w:firstRowFirstColumn="0" w:firstRowLastColumn="0" w:lastRowFirstColumn="0" w:lastRowLastColumn="0"/>
            <w:tcBorders>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0.147646</w:t>
            </w:r>
          </w:p>
        </w:tc>
        <w:tc>
          <w:tcPr>
            <w:tcW w:w="1032" w:type="dxa"/>
            <w:tcBorders>
              <w:top w:val="nil"/>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4.01E-06</w:t>
            </w:r>
          </w:p>
        </w:tc>
        <w:tc>
          <w:tcPr>
            <w:tcW w:w="1031" w:type="dxa"/>
            <w:cnfStyle w:val="000010000000" w:firstRow="0" w:lastRow="0" w:firstColumn="0" w:lastColumn="0" w:oddVBand="1" w:evenVBand="0" w:oddHBand="0" w:evenHBand="0" w:firstRowFirstColumn="0" w:firstRowLastColumn="0" w:lastRowFirstColumn="0" w:lastRowLastColumn="0"/>
            <w:tcBorders>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right"/>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0.002715</w:t>
            </w:r>
          </w:p>
        </w:tc>
        <w:tc>
          <w:tcPr>
            <w:tcW w:w="1033" w:type="dxa"/>
            <w:tcBorders>
              <w:top w:val="nil"/>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Calibri" w:cs="Calibri" w:eastAsiaTheme="minorHAnsi"/>
                <w:color w:val="000000"/>
                <w:sz w:val="16"/>
                <w:szCs w:val="16"/>
                <w:lang w:eastAsia="en-US"/>
              </w:rPr>
            </w:pPr>
            <w:r>
              <w:rPr>
                <w:rFonts w:eastAsia="Calibri" w:cs="Calibri" w:ascii="Calibri" w:hAnsi="Calibri" w:eastAsiaTheme="minorHAnsi"/>
                <w:color w:val="000000"/>
                <w:sz w:val="16"/>
                <w:szCs w:val="16"/>
                <w:lang w:eastAsia="en-US"/>
              </w:rPr>
              <w:t>0.056986</w:t>
            </w:r>
          </w:p>
        </w:tc>
      </w:tr>
    </w:tbl>
    <w:p>
      <w:pPr>
        <w:pStyle w:val="Normal"/>
        <w:rPr>
          <w:rFonts w:cs="Times New Roman"/>
          <w:szCs w:val="24"/>
          <w:lang w:eastAsia="zh-TW"/>
        </w:rPr>
      </w:pPr>
      <w:r>
        <w:rPr>
          <w:rFonts w:cs="Times New Roman"/>
          <w:szCs w:val="24"/>
          <w:lang w:eastAsia="zh-TW"/>
        </w:rPr>
      </w:r>
    </w:p>
    <w:p>
      <w:pPr>
        <w:pStyle w:val="Normal"/>
        <w:spacing w:lineRule="auto" w:line="360" w:before="0" w:after="0"/>
        <w:jc w:val="center"/>
        <w:rPr>
          <w:rFonts w:cs="Times New Roman"/>
          <w:szCs w:val="24"/>
        </w:rPr>
      </w:pPr>
      <w:r>
        <w:rPr/>
        <w:drawing>
          <wp:inline distT="0" distB="0" distL="0" distR="8255">
            <wp:extent cx="4659630" cy="2480945"/>
            <wp:effectExtent l="0" t="0" r="0" b="0"/>
            <wp:docPr id="2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
                    <pic:cNvPicPr>
                      <a:picLocks noChangeAspect="1" noChangeArrowheads="1"/>
                    </pic:cNvPicPr>
                  </pic:nvPicPr>
                  <pic:blipFill>
                    <a:blip r:embed="rId27"/>
                    <a:stretch>
                      <a:fillRect/>
                    </a:stretch>
                  </pic:blipFill>
                  <pic:spPr bwMode="auto">
                    <a:xfrm>
                      <a:off x="0" y="0"/>
                      <a:ext cx="4659630" cy="2480945"/>
                    </a:xfrm>
                    <a:prstGeom prst="rect">
                      <a:avLst/>
                    </a:prstGeom>
                  </pic:spPr>
                </pic:pic>
              </a:graphicData>
            </a:graphic>
          </wp:inline>
        </w:drawing>
      </w:r>
    </w:p>
    <w:p>
      <w:pPr>
        <w:pStyle w:val="Caption1"/>
        <w:spacing w:before="0" w:after="160"/>
        <w:rPr>
          <w:rFonts w:cs="Times New Roman"/>
          <w:szCs w:val="24"/>
        </w:rPr>
      </w:pPr>
      <w:bookmarkStart w:id="114" w:name="_Toc454940959"/>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16</w:t>
      </w:r>
      <w:r>
        <w:rPr>
          <w:b/>
          <w:szCs w:val="24"/>
          <w:rFonts w:cs="Times New Roman"/>
        </w:rPr>
        <w:fldChar w:fldCharType="end"/>
      </w:r>
      <w:r>
        <w:rPr>
          <w:rFonts w:cs="Times New Roman"/>
          <w:szCs w:val="24"/>
        </w:rPr>
        <w:t xml:space="preserve"> - Topmost F-scores of AAIndex for four parts of Class 1</w:t>
      </w:r>
      <w:bookmarkEnd w:id="114"/>
    </w:p>
    <w:p>
      <w:pPr>
        <w:pStyle w:val="Normal"/>
        <w:spacing w:lineRule="auto" w:line="360"/>
        <w:ind w:firstLine="720"/>
        <w:rPr>
          <w:rFonts w:cs="Times New Roman"/>
          <w:szCs w:val="24"/>
          <w:lang w:eastAsia="zh-TW"/>
        </w:rPr>
      </w:pPr>
      <w:r>
        <w:rPr>
          <w:rFonts w:cs="Times New Roman"/>
          <w:szCs w:val="24"/>
          <w:lang w:eastAsia="zh-TW"/>
        </w:rPr>
        <w:t>Table 14 and Figure 23 show the result of analysis in Class 2 with description of 20 selected AAindex properties and their data visualizations. The columns of table correspond to the AAindex accession number and the description of each F-score value for each part. F-score information is also in the position of 25% part, with the high F-score value of 0.179. AAindex properties and data visualizations as follows below:</w:t>
      </w:r>
    </w:p>
    <w:p>
      <w:pPr>
        <w:pStyle w:val="Caption1"/>
        <w:spacing w:lineRule="auto" w:line="360" w:before="0" w:after="0"/>
        <w:rPr>
          <w:sz w:val="16"/>
          <w:szCs w:val="16"/>
        </w:rPr>
      </w:pPr>
      <w:bookmarkStart w:id="115" w:name="_Toc454736525"/>
      <w:r>
        <w:rPr>
          <w:b/>
        </w:rPr>
        <w:t xml:space="preserve">Table </w:t>
      </w:r>
      <w:r>
        <w:rPr>
          <w:b/>
        </w:rPr>
        <w:fldChar w:fldCharType="begin"/>
      </w:r>
      <w:r>
        <w:rPr>
          <w:b/>
        </w:rPr>
        <w:instrText> SEQ Table \* ARABIC </w:instrText>
      </w:r>
      <w:r>
        <w:rPr>
          <w:b/>
        </w:rPr>
        <w:fldChar w:fldCharType="separate"/>
      </w:r>
      <w:r>
        <w:rPr>
          <w:b/>
        </w:rPr>
        <w:t>10</w:t>
      </w:r>
      <w:r>
        <w:rPr>
          <w:b/>
        </w:rPr>
        <w:fldChar w:fldCharType="end"/>
      </w:r>
      <w:r>
        <w:rPr/>
        <w:t xml:space="preserve"> - </w:t>
      </w:r>
      <w:r>
        <w:rPr>
          <w:color w:val="000000"/>
          <w:szCs w:val="24"/>
        </w:rPr>
        <w:t>20 selected Amino Acid Indices in Class 2</w:t>
      </w:r>
      <w:bookmarkEnd w:id="115"/>
    </w:p>
    <w:tbl>
      <w:tblPr>
        <w:tblStyle w:val="LightList-Accent1"/>
        <w:tblW w:w="5732" w:type="dxa"/>
        <w:jc w:val="center"/>
        <w:tblInd w:w="0" w:type="dxa"/>
        <w:tblCellMar>
          <w:top w:w="0" w:type="dxa"/>
          <w:left w:w="108" w:type="dxa"/>
          <w:bottom w:w="0" w:type="dxa"/>
          <w:right w:w="108" w:type="dxa"/>
        </w:tblCellMar>
        <w:tblLook w:firstRow="1" w:noVBand="1" w:lastRow="0" w:firstColumn="1" w:lastColumn="0" w:noHBand="0" w:val="04a0"/>
      </w:tblPr>
      <w:tblGrid>
        <w:gridCol w:w="1520"/>
        <w:gridCol w:w="1053"/>
        <w:gridCol w:w="1053"/>
        <w:gridCol w:w="1053"/>
        <w:gridCol w:w="1053"/>
      </w:tblGrid>
      <w:tr>
        <w:trPr>
          <w:trHeight w:val="113" w:hRule="atLeast"/>
          <w:cnfStyle w:val="100000000000" w:firstRow="1" w:lastRow="0" w:firstColumn="0" w:lastColumn="0" w:oddVBand="0" w:evenVBand="0" w:oddHBand="0"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rPr>
                <w:rFonts w:eastAsia="Times New Roman" w:cs="Times New Roman"/>
                <w:color w:val="000000"/>
                <w:sz w:val="20"/>
                <w:szCs w:val="20"/>
                <w:lang w:eastAsia="en-US"/>
              </w:rPr>
            </w:pPr>
            <w:r>
              <w:rPr>
                <w:rFonts w:eastAsia="Times New Roman" w:cs="Times New Roman"/>
                <w:b/>
                <w:bCs/>
                <w:color w:val="000000"/>
                <w:sz w:val="20"/>
                <w:szCs w:val="20"/>
                <w:lang w:eastAsia="en-US"/>
              </w:rPr>
              <w:t>AAindex</w:t>
            </w:r>
          </w:p>
        </w:tc>
        <w:tc>
          <w:tcPr>
            <w:tcW w:w="1053"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US"/>
              </w:rPr>
            </w:pPr>
            <w:r>
              <w:rPr>
                <w:rFonts w:eastAsia="Times New Roman" w:cs="Times New Roman"/>
                <w:b/>
                <w:bCs/>
                <w:color w:val="000000"/>
                <w:sz w:val="20"/>
                <w:szCs w:val="20"/>
                <w:lang w:eastAsia="en-US"/>
              </w:rPr>
              <w:t>1-25%</w:t>
            </w:r>
          </w:p>
        </w:tc>
        <w:tc>
          <w:tcPr>
            <w:tcW w:w="1053"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US"/>
              </w:rPr>
            </w:pPr>
            <w:r>
              <w:rPr>
                <w:rFonts w:eastAsia="Times New Roman" w:cs="Times New Roman"/>
                <w:b/>
                <w:bCs/>
                <w:color w:val="000000"/>
                <w:sz w:val="20"/>
                <w:szCs w:val="20"/>
                <w:lang w:eastAsia="en-US"/>
              </w:rPr>
              <w:t>26-50%</w:t>
            </w:r>
          </w:p>
        </w:tc>
        <w:tc>
          <w:tcPr>
            <w:tcW w:w="1053"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US"/>
              </w:rPr>
            </w:pPr>
            <w:r>
              <w:rPr>
                <w:rFonts w:eastAsia="Times New Roman" w:cs="Times New Roman"/>
                <w:b/>
                <w:bCs/>
                <w:color w:val="000000"/>
                <w:sz w:val="20"/>
                <w:szCs w:val="20"/>
                <w:lang w:eastAsia="en-US"/>
              </w:rPr>
              <w:t>51-75%</w:t>
            </w:r>
          </w:p>
        </w:tc>
        <w:tc>
          <w:tcPr>
            <w:tcW w:w="1053"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US"/>
              </w:rPr>
            </w:pPr>
            <w:r>
              <w:rPr>
                <w:rFonts w:eastAsia="Times New Roman" w:cs="Times New Roman"/>
                <w:b/>
                <w:bCs/>
                <w:color w:val="000000"/>
                <w:sz w:val="20"/>
                <w:szCs w:val="20"/>
                <w:lang w:eastAsia="en-US"/>
              </w:rPr>
              <w:t>76-100%</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00000A"/>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GARJ730101</w:t>
            </w:r>
          </w:p>
        </w:tc>
        <w:tc>
          <w:tcPr>
            <w:tcW w:w="1053" w:type="dxa"/>
            <w:tcBorders>
              <w:top w:val="single" w:sz="4" w:space="0" w:color="00000A"/>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0.050099</w:t>
            </w:r>
          </w:p>
        </w:tc>
        <w:tc>
          <w:tcPr>
            <w:tcW w:w="1053" w:type="dxa"/>
            <w:tcBorders>
              <w:top w:val="single" w:sz="4" w:space="0" w:color="00000A"/>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0.001827</w:t>
            </w:r>
          </w:p>
        </w:tc>
        <w:tc>
          <w:tcPr>
            <w:tcW w:w="1053" w:type="dxa"/>
            <w:tcBorders>
              <w:top w:val="single" w:sz="4" w:space="0" w:color="00000A"/>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0.002473</w:t>
            </w:r>
          </w:p>
        </w:tc>
        <w:tc>
          <w:tcPr>
            <w:tcW w:w="1053" w:type="dxa"/>
            <w:tcBorders>
              <w:top w:val="single" w:sz="4" w:space="0" w:color="00000A"/>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0.011054</w:t>
            </w:r>
          </w:p>
        </w:tc>
      </w:tr>
      <w:tr>
        <w:trPr>
          <w:trHeight w:val="113" w:hRule="atLeast"/>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WIMW960101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0.140314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4.17E-04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1.03E-05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0.045352</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OOBM850102</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0.079337</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5.32E-06</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0.00249</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0.024149</w:t>
            </w:r>
          </w:p>
        </w:tc>
      </w:tr>
      <w:tr>
        <w:trPr>
          <w:trHeight w:val="113" w:hRule="atLeast"/>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NOZY710101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0.124641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3.22E-04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0.001232</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0.028464</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MEEJ800101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0.136797</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0.004403</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2.00E-04</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0.035244</w:t>
            </w:r>
          </w:p>
        </w:tc>
      </w:tr>
      <w:tr>
        <w:trPr>
          <w:trHeight w:val="113" w:hRule="atLeast"/>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ZASB820101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0.110641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4.66E-04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8.72E-04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0.019057</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MEEJ800102</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0.114114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0.003795</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3.64E-07</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0.02683</w:t>
            </w:r>
          </w:p>
        </w:tc>
      </w:tr>
      <w:tr>
        <w:trPr>
          <w:trHeight w:val="113" w:hRule="atLeast"/>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MEEJ810102</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0.120291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0.001152</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2.54E-04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0.037352</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OOBM770103</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0.165141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4.97E-04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1.16E-06</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0.052787</w:t>
            </w:r>
          </w:p>
        </w:tc>
      </w:tr>
      <w:tr>
        <w:trPr>
          <w:trHeight w:val="113" w:hRule="atLeast"/>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ZHOH040101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0.122568</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3.72E-05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8.27E-04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0.025698</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LEVM760107</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0.029999</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0.001056</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5.95E-04</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3.96E-04</w:t>
            </w:r>
          </w:p>
        </w:tc>
      </w:tr>
      <w:tr>
        <w:trPr>
          <w:trHeight w:val="113" w:hRule="atLeast"/>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NADH010105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0.145808</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6.95E-04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2.16E-05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0.053534</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MEEJ810101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0.13009</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0.001847</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1.33E-05</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0.039412</w:t>
            </w:r>
          </w:p>
        </w:tc>
      </w:tr>
      <w:tr>
        <w:trPr>
          <w:trHeight w:val="113" w:hRule="atLeast"/>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NAKH900104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0.089829</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5.81E-06</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0.003217</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0.010114</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MEIH800103</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0.179841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0.002571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7.31E-06</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0.074616</w:t>
            </w:r>
          </w:p>
        </w:tc>
      </w:tr>
      <w:tr>
        <w:trPr>
          <w:trHeight w:val="113" w:hRule="atLeast"/>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VASM830101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0.007585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8.70E-04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0.013385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0.026616</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RADA880102</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0.110762</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0.001984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4.51E-04</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0.031625</w:t>
            </w:r>
          </w:p>
        </w:tc>
      </w:tr>
      <w:tr>
        <w:trPr>
          <w:trHeight w:val="113" w:hRule="atLeast"/>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AURR980107</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0.057612</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8.84E-04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0.004739</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0.037882</w:t>
            </w:r>
          </w:p>
        </w:tc>
      </w:tr>
      <w:tr>
        <w:trPr>
          <w:trHeight w:val="113" w:hRule="atLeast"/>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nil"/>
              <w:left w:val="nil"/>
              <w:bottom w:val="single" w:sz="4" w:space="0" w:color="00000A"/>
              <w:insideH w:val="single" w:sz="4" w:space="0" w:color="00000A"/>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ROBB790101</w:t>
            </w:r>
          </w:p>
        </w:tc>
        <w:tc>
          <w:tcPr>
            <w:tcW w:w="1053" w:type="dxa"/>
            <w:tcBorders>
              <w:top w:val="nil"/>
              <w:bottom w:val="single" w:sz="4" w:space="0" w:color="00000A"/>
              <w:insideH w:val="single" w:sz="4" w:space="0" w:color="00000A"/>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0.119737</w:t>
            </w:r>
          </w:p>
        </w:tc>
        <w:tc>
          <w:tcPr>
            <w:tcW w:w="1053" w:type="dxa"/>
            <w:tcBorders>
              <w:top w:val="nil"/>
              <w:bottom w:val="single" w:sz="4" w:space="0" w:color="00000A"/>
              <w:insideH w:val="single" w:sz="4" w:space="0" w:color="00000A"/>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0.001514</w:t>
            </w:r>
          </w:p>
        </w:tc>
        <w:tc>
          <w:tcPr>
            <w:tcW w:w="1053" w:type="dxa"/>
            <w:tcBorders>
              <w:top w:val="nil"/>
              <w:bottom w:val="single" w:sz="4" w:space="0" w:color="00000A"/>
              <w:insideH w:val="single" w:sz="4" w:space="0" w:color="00000A"/>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3.17E-04</w:t>
            </w:r>
          </w:p>
        </w:tc>
        <w:tc>
          <w:tcPr>
            <w:tcW w:w="1053" w:type="dxa"/>
            <w:tcBorders>
              <w:top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0.029884</w:t>
            </w:r>
          </w:p>
        </w:tc>
      </w:tr>
    </w:tbl>
    <w:p>
      <w:pPr>
        <w:pStyle w:val="Normal"/>
        <w:rPr/>
      </w:pPr>
      <w:r>
        <w:rPr/>
      </w:r>
    </w:p>
    <w:p>
      <w:pPr>
        <w:pStyle w:val="Normal"/>
        <w:spacing w:lineRule="auto" w:line="360" w:before="0" w:after="0"/>
        <w:jc w:val="center"/>
        <w:rPr>
          <w:rFonts w:cs="Times New Roman"/>
          <w:szCs w:val="24"/>
        </w:rPr>
      </w:pPr>
      <w:r>
        <w:rPr/>
        <w:drawing>
          <wp:inline distT="0" distB="5715" distL="0" distR="8255">
            <wp:extent cx="4982845" cy="3156585"/>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8"/>
                    <a:stretch>
                      <a:fillRect/>
                    </a:stretch>
                  </pic:blipFill>
                  <pic:spPr bwMode="auto">
                    <a:xfrm>
                      <a:off x="0" y="0"/>
                      <a:ext cx="4982845" cy="3156585"/>
                    </a:xfrm>
                    <a:prstGeom prst="rect">
                      <a:avLst/>
                    </a:prstGeom>
                  </pic:spPr>
                </pic:pic>
              </a:graphicData>
            </a:graphic>
          </wp:inline>
        </w:drawing>
      </w:r>
    </w:p>
    <w:p>
      <w:pPr>
        <w:pStyle w:val="Caption1"/>
        <w:spacing w:before="0" w:after="160"/>
        <w:rPr>
          <w:rFonts w:cs="Times New Roman"/>
          <w:szCs w:val="24"/>
        </w:rPr>
      </w:pPr>
      <w:bookmarkStart w:id="116" w:name="_Toc454940960"/>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17</w:t>
      </w:r>
      <w:r>
        <w:rPr>
          <w:b/>
          <w:szCs w:val="24"/>
          <w:rFonts w:cs="Times New Roman"/>
        </w:rPr>
        <w:fldChar w:fldCharType="end"/>
      </w:r>
      <w:r>
        <w:rPr>
          <w:rFonts w:cs="Times New Roman"/>
          <w:szCs w:val="24"/>
        </w:rPr>
        <w:t xml:space="preserve"> - Topmost F-scores of AAIndex for four parts of Class 2</w:t>
      </w:r>
      <w:bookmarkEnd w:id="116"/>
    </w:p>
    <w:p>
      <w:pPr>
        <w:pStyle w:val="Normal"/>
        <w:spacing w:lineRule="auto" w:line="360"/>
        <w:ind w:firstLine="720"/>
        <w:rPr/>
      </w:pPr>
      <w:r>
        <w:rPr>
          <w:rFonts w:cs="Times New Roman"/>
          <w:szCs w:val="24"/>
          <w:lang w:eastAsia="zh-TW"/>
        </w:rPr>
        <w:t>Table 15 and Figure 24 show the result of analysis in Class 3 with description of 20 selected AAindex properties and their data visualizations. The columns of table correspond to the AAindex accession number and the description of each F-score value for each part. F-score information is also in the position of 25% part the same with class 1 and 2, with the high F-score value of 0.068. AAindex properties and data visualizations as follows below:</w:t>
      </w:r>
    </w:p>
    <w:p>
      <w:pPr>
        <w:pStyle w:val="Caption1"/>
        <w:spacing w:before="0" w:after="0"/>
        <w:rPr>
          <w:sz w:val="16"/>
          <w:szCs w:val="16"/>
        </w:rPr>
      </w:pPr>
      <w:bookmarkStart w:id="117" w:name="_Toc454736526"/>
      <w:r>
        <w:rPr>
          <w:b/>
        </w:rPr>
        <w:t xml:space="preserve">Table </w:t>
      </w:r>
      <w:r>
        <w:rPr>
          <w:b/>
        </w:rPr>
        <w:fldChar w:fldCharType="begin"/>
      </w:r>
      <w:r>
        <w:rPr>
          <w:b/>
        </w:rPr>
        <w:instrText> SEQ Table \* ARABIC </w:instrText>
      </w:r>
      <w:r>
        <w:rPr>
          <w:b/>
        </w:rPr>
        <w:fldChar w:fldCharType="separate"/>
      </w:r>
      <w:r>
        <w:rPr>
          <w:b/>
        </w:rPr>
        <w:t>11</w:t>
      </w:r>
      <w:r>
        <w:rPr>
          <w:b/>
        </w:rPr>
        <w:fldChar w:fldCharType="end"/>
      </w:r>
      <w:r>
        <w:rPr/>
        <w:t xml:space="preserve"> - </w:t>
      </w:r>
      <w:r>
        <w:rPr>
          <w:color w:val="000000"/>
          <w:szCs w:val="24"/>
        </w:rPr>
        <w:t>20 selected Amino Acid Indices in Class 3</w:t>
      </w:r>
      <w:bookmarkEnd w:id="117"/>
    </w:p>
    <w:tbl>
      <w:tblPr>
        <w:tblStyle w:val="LightList-Accent1"/>
        <w:tblW w:w="5912" w:type="dxa"/>
        <w:jc w:val="center"/>
        <w:tblInd w:w="0" w:type="dxa"/>
        <w:tblCellMar>
          <w:top w:w="0" w:type="dxa"/>
          <w:left w:w="108" w:type="dxa"/>
          <w:bottom w:w="0" w:type="dxa"/>
          <w:right w:w="108" w:type="dxa"/>
        </w:tblCellMar>
        <w:tblLook w:firstRow="1" w:noVBand="1" w:lastRow="0" w:firstColumn="1" w:lastColumn="0" w:noHBand="0" w:val="04a0"/>
      </w:tblPr>
      <w:tblGrid>
        <w:gridCol w:w="1700"/>
        <w:gridCol w:w="1053"/>
        <w:gridCol w:w="1053"/>
        <w:gridCol w:w="1053"/>
        <w:gridCol w:w="1053"/>
      </w:tblGrid>
      <w:tr>
        <w:trPr>
          <w:trHeight w:val="20" w:hRule="atLeast"/>
          <w:cnfStyle w:val="100000000000" w:firstRow="1" w:lastRow="0" w:firstColumn="0" w:lastColumn="0" w:oddVBand="0" w:evenVBand="0" w:oddHBand="0"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b/>
                <w:bCs/>
                <w:color w:val="000000"/>
                <w:sz w:val="20"/>
                <w:szCs w:val="20"/>
                <w:lang w:eastAsia="en-US"/>
              </w:rPr>
              <w:t>AAindex</w:t>
            </w:r>
          </w:p>
        </w:tc>
        <w:tc>
          <w:tcPr>
            <w:tcW w:w="1053"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US"/>
              </w:rPr>
            </w:pPr>
            <w:r>
              <w:rPr>
                <w:rFonts w:eastAsia="Times New Roman" w:cs="Times New Roman"/>
                <w:b/>
                <w:bCs/>
                <w:color w:val="000000"/>
                <w:sz w:val="20"/>
                <w:szCs w:val="20"/>
                <w:lang w:eastAsia="en-US"/>
              </w:rPr>
              <w:t>1-25%</w:t>
            </w:r>
          </w:p>
        </w:tc>
        <w:tc>
          <w:tcPr>
            <w:tcW w:w="1053"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US"/>
              </w:rPr>
            </w:pPr>
            <w:r>
              <w:rPr>
                <w:rFonts w:eastAsia="Times New Roman" w:cs="Times New Roman"/>
                <w:b/>
                <w:bCs/>
                <w:color w:val="000000"/>
                <w:sz w:val="20"/>
                <w:szCs w:val="20"/>
                <w:lang w:eastAsia="en-US"/>
              </w:rPr>
              <w:t>26-50%</w:t>
            </w:r>
          </w:p>
        </w:tc>
        <w:tc>
          <w:tcPr>
            <w:tcW w:w="1053"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US"/>
              </w:rPr>
            </w:pPr>
            <w:r>
              <w:rPr>
                <w:rFonts w:eastAsia="Times New Roman" w:cs="Times New Roman"/>
                <w:b/>
                <w:bCs/>
                <w:color w:val="000000"/>
                <w:sz w:val="20"/>
                <w:szCs w:val="20"/>
                <w:lang w:eastAsia="en-US"/>
              </w:rPr>
              <w:t>51-75%</w:t>
            </w:r>
          </w:p>
        </w:tc>
        <w:tc>
          <w:tcPr>
            <w:tcW w:w="1053" w:type="dxa"/>
            <w:tcBorders>
              <w:top w:val="single" w:sz="4" w:space="0" w:color="00000A"/>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US"/>
              </w:rPr>
            </w:pPr>
            <w:r>
              <w:rPr>
                <w:rFonts w:eastAsia="Times New Roman" w:cs="Times New Roman"/>
                <w:b/>
                <w:bCs/>
                <w:color w:val="000000"/>
                <w:sz w:val="20"/>
                <w:szCs w:val="20"/>
                <w:lang w:eastAsia="en-US"/>
              </w:rPr>
              <w:t>76-100%</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single" w:sz="4" w:space="0" w:color="00000A"/>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VASM830101</w:t>
            </w:r>
          </w:p>
        </w:tc>
        <w:tc>
          <w:tcPr>
            <w:tcW w:w="1053" w:type="dxa"/>
            <w:tcBorders>
              <w:top w:val="single" w:sz="4" w:space="0" w:color="00000A"/>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0.002077</w:t>
            </w:r>
          </w:p>
        </w:tc>
        <w:tc>
          <w:tcPr>
            <w:tcW w:w="1053" w:type="dxa"/>
            <w:tcBorders>
              <w:top w:val="single" w:sz="4" w:space="0" w:color="00000A"/>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3.39E-05</w:t>
            </w:r>
          </w:p>
        </w:tc>
        <w:tc>
          <w:tcPr>
            <w:tcW w:w="1053" w:type="dxa"/>
            <w:tcBorders>
              <w:top w:val="single" w:sz="4" w:space="0" w:color="00000A"/>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5.96E-04</w:t>
            </w:r>
          </w:p>
        </w:tc>
        <w:tc>
          <w:tcPr>
            <w:tcW w:w="1053" w:type="dxa"/>
            <w:tcBorders>
              <w:top w:val="single" w:sz="4" w:space="0" w:color="00000A"/>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0.018165</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WOLS870103</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0.036971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0.004852</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0.002656</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0.007421</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WERD780104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0.059794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0.004782</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0.007804</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1.10E-04</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RACS820112</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5.24E-05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0.0242</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0.004909</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0.021392</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EISD860102</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2.31E-04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7.54E-04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4.10E-05</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0.008459</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AURR980119</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0.025614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3.55E-04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1.46E-04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0.016352</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AURR980106</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0.046911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0.001981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0.017344</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0.012239</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JANJ780101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0.035665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0.004633</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0.005014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0.023138</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AURR980111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0.007031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9.47E-04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0.014192</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0.002972</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JANJ780103</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0.045328</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0.00474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0.005976</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0.024183</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FUKS010101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0.024901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7.35E-04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4.77E-04</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0.006775</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AURR980101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0.015055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7.28E-06</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1.27E-04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0.012893</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PRAM900101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0.041631</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0.009697</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0.003623</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0.016496</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FUKS010104</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0.03772</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0.002277</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0.002443</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0.009326</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RACS820103</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0.009576</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4.04E-04</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0.001308</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0.014785</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ZIMJ680103</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0.032877</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0.005628</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0.004691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0.008582</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PARS000102</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0.05637</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0.005609</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0.011184</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0.015729</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HOPA770101</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0.057615</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0.008946</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0.008682</w:t>
            </w:r>
          </w:p>
        </w:tc>
        <w:tc>
          <w:tcPr>
            <w:tcW w:w="1053" w:type="dxa"/>
            <w:tcBorders>
              <w:top w:val="nil"/>
              <w:left w:val="nil"/>
              <w:bottom w:val="nil"/>
              <w:right w:val="nil"/>
              <w:insideH w:val="nil"/>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0.013927</w:t>
            </w:r>
          </w:p>
        </w:tc>
      </w:tr>
      <w:tr>
        <w:trPr>
          <w:trHeight w:val="20" w:hRule="atLeast"/>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nil"/>
              <w:insideH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DESM900102</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0.068962</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0.010317</w:t>
            </w:r>
          </w:p>
        </w:tc>
        <w:tc>
          <w:tcPr>
            <w:tcW w:w="1053" w:type="dxa"/>
            <w:tcBorders>
              <w:top w:val="nil"/>
              <w:bottom w:val="nil"/>
              <w:insideH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0.006489</w:t>
            </w:r>
          </w:p>
        </w:tc>
        <w:tc>
          <w:tcPr>
            <w:tcW w:w="1053" w:type="dxa"/>
            <w:tcBorders>
              <w:top w:val="nil"/>
              <w:bottom w:val="nil"/>
              <w:right w:val="nil"/>
              <w:insideH w:val="nil"/>
              <w:insideV w:val="nil"/>
            </w:tcBorders>
            <w:shd w:color="auto" w:fill="FFFFFF" w:themeFill="background1"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0.021378</w:t>
            </w:r>
          </w:p>
        </w:tc>
      </w:tr>
      <w:tr>
        <w:trPr>
          <w:trHeight w:val="20" w:hRule="atLeast"/>
        </w:trPr>
        <w:tc>
          <w:tcPr>
            <w:tcW w:w="1700" w:type="dxa"/>
            <w:cnfStyle w:val="001000000000" w:firstRow="0" w:lastRow="0" w:firstColumn="1" w:lastColumn="0" w:oddVBand="0" w:evenVBand="0" w:oddHBand="0" w:evenHBand="0" w:firstRowFirstColumn="0" w:firstRowLastColumn="0" w:lastRowFirstColumn="0" w:lastRowLastColumn="0"/>
            <w:tcBorders>
              <w:top w:val="nil"/>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rPr>
                <w:rFonts w:ascii="Calibri" w:hAnsi="Calibri" w:eastAsia="Times New Roman" w:cs="Calibri"/>
                <w:color w:val="000000"/>
                <w:sz w:val="16"/>
                <w:szCs w:val="16"/>
                <w:lang w:eastAsia="en-US"/>
              </w:rPr>
            </w:pPr>
            <w:r>
              <w:rPr>
                <w:rFonts w:eastAsia="Times New Roman" w:cs="Calibri" w:ascii="Calibri" w:hAnsi="Calibri"/>
                <w:b/>
                <w:bCs/>
                <w:color w:val="000000"/>
                <w:sz w:val="16"/>
                <w:szCs w:val="16"/>
                <w:lang w:eastAsia="en-US"/>
              </w:rPr>
              <w:t>JACR890101</w:t>
            </w:r>
          </w:p>
        </w:tc>
        <w:tc>
          <w:tcPr>
            <w:tcW w:w="1053" w:type="dxa"/>
            <w:tcBorders>
              <w:top w:val="nil"/>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0.020513</w:t>
            </w:r>
          </w:p>
        </w:tc>
        <w:tc>
          <w:tcPr>
            <w:tcW w:w="1053" w:type="dxa"/>
            <w:tcBorders>
              <w:top w:val="nil"/>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0.00771</w:t>
            </w:r>
          </w:p>
        </w:tc>
        <w:tc>
          <w:tcPr>
            <w:tcW w:w="1053" w:type="dxa"/>
            <w:tcBorders>
              <w:top w:val="nil"/>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0.002245</w:t>
            </w:r>
          </w:p>
        </w:tc>
        <w:tc>
          <w:tcPr>
            <w:tcW w:w="1053" w:type="dxa"/>
            <w:tcBorders>
              <w:top w:val="nil"/>
              <w:left w:val="nil"/>
              <w:bottom w:val="single" w:sz="4" w:space="0" w:color="00000A"/>
              <w:right w:val="nil"/>
              <w:insideH w:val="single" w:sz="4" w:space="0" w:color="00000A"/>
              <w:insideV w:val="nil"/>
            </w:tcBorders>
            <w:shd w:color="auto" w:fill="FFFFFF" w:themeFill="background1"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16"/>
                <w:szCs w:val="16"/>
                <w:lang w:eastAsia="en-US"/>
              </w:rPr>
            </w:pPr>
            <w:r>
              <w:rPr>
                <w:rFonts w:eastAsia="Times New Roman" w:cs="Calibri" w:ascii="Calibri" w:hAnsi="Calibri"/>
                <w:color w:val="000000"/>
                <w:sz w:val="16"/>
                <w:szCs w:val="16"/>
                <w:lang w:eastAsia="en-US"/>
              </w:rPr>
              <w:t>0.010954</w:t>
            </w:r>
          </w:p>
        </w:tc>
      </w:tr>
    </w:tbl>
    <w:p>
      <w:pPr>
        <w:pStyle w:val="Normal"/>
        <w:rPr/>
      </w:pPr>
      <w:r>
        <w:rPr/>
      </w:r>
    </w:p>
    <w:p>
      <w:pPr>
        <w:pStyle w:val="Normal"/>
        <w:spacing w:lineRule="auto" w:line="360" w:before="0" w:after="0"/>
        <w:jc w:val="center"/>
        <w:rPr>
          <w:rFonts w:cs="Times New Roman"/>
          <w:szCs w:val="24"/>
        </w:rPr>
      </w:pPr>
      <w:r>
        <w:rPr/>
        <w:drawing>
          <wp:inline distT="0" distB="0" distL="0" distR="635">
            <wp:extent cx="5010150" cy="3037205"/>
            <wp:effectExtent l="0" t="0" r="0" b="0"/>
            <wp:docPr id="2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
                    <pic:cNvPicPr>
                      <a:picLocks noChangeAspect="1" noChangeArrowheads="1"/>
                    </pic:cNvPicPr>
                  </pic:nvPicPr>
                  <pic:blipFill>
                    <a:blip r:embed="rId29"/>
                    <a:stretch>
                      <a:fillRect/>
                    </a:stretch>
                  </pic:blipFill>
                  <pic:spPr bwMode="auto">
                    <a:xfrm>
                      <a:off x="0" y="0"/>
                      <a:ext cx="5010150" cy="3037205"/>
                    </a:xfrm>
                    <a:prstGeom prst="rect">
                      <a:avLst/>
                    </a:prstGeom>
                  </pic:spPr>
                </pic:pic>
              </a:graphicData>
            </a:graphic>
          </wp:inline>
        </w:drawing>
      </w:r>
    </w:p>
    <w:p>
      <w:pPr>
        <w:pStyle w:val="Caption1"/>
        <w:spacing w:before="0" w:after="160"/>
        <w:rPr>
          <w:rFonts w:cs="Times New Roman"/>
          <w:szCs w:val="24"/>
        </w:rPr>
      </w:pPr>
      <w:bookmarkStart w:id="118" w:name="_Toc454940961"/>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18</w:t>
      </w:r>
      <w:r>
        <w:rPr>
          <w:b/>
          <w:szCs w:val="24"/>
          <w:rFonts w:cs="Times New Roman"/>
        </w:rPr>
        <w:fldChar w:fldCharType="end"/>
      </w:r>
      <w:r>
        <w:rPr>
          <w:rFonts w:cs="Times New Roman"/>
          <w:szCs w:val="24"/>
        </w:rPr>
        <w:t xml:space="preserve"> - Topmost F-scores of AAIndex for four parts of Class 3</w:t>
      </w:r>
      <w:bookmarkEnd w:id="118"/>
    </w:p>
    <w:p>
      <w:pPr>
        <w:pStyle w:val="Heading2"/>
        <w:rPr/>
      </w:pPr>
      <w:bookmarkStart w:id="119" w:name="__RefHeading___Toc27398_277794404"/>
      <w:bookmarkStart w:id="120" w:name="_Toc455040218"/>
      <w:bookmarkEnd w:id="119"/>
      <w:r>
        <w:rPr/>
        <w:t>4.4. Topmost F-scores of selected 10-250 amino acid Sequences</w:t>
      </w:r>
      <w:bookmarkEnd w:id="120"/>
    </w:p>
    <w:p>
      <w:pPr>
        <w:pStyle w:val="Normal"/>
        <w:spacing w:lineRule="auto" w:line="360"/>
        <w:ind w:firstLine="720"/>
        <w:rPr>
          <w:rFonts w:cs="Times New Roman"/>
          <w:szCs w:val="24"/>
        </w:rPr>
      </w:pPr>
      <w:r>
        <w:rPr>
          <w:rFonts w:cs="Times New Roman"/>
          <w:szCs w:val="24"/>
        </w:rPr>
        <w:t>We calculated the F-score value for each Amino acid index database (currently contains 544 indices) with a minimum of 10 amino acid residues and maximum length of 250 amino acid residues. The average of F-score values obtained represents topmost ranking 544 amino acid indices with increment of 10 residues until maximum 250 residues and consists of 25 parts. The key idea of this sequence analysis is to select position of the amino acid sequences have more F-score information based on possibility high F-score values for each part.</w:t>
      </w:r>
    </w:p>
    <w:p>
      <w:pPr>
        <w:pStyle w:val="Normal"/>
        <w:spacing w:lineRule="auto" w:line="240"/>
        <w:jc w:val="center"/>
        <w:rPr/>
      </w:pPr>
      <w:r>
        <w:rPr/>
        <w:drawing>
          <wp:inline distT="0" distB="3810" distL="0" distR="8255">
            <wp:extent cx="3554095" cy="2187575"/>
            <wp:effectExtent l="0" t="0" r="0" b="0"/>
            <wp:docPr id="2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
                    <pic:cNvPicPr>
                      <a:picLocks noChangeAspect="1" noChangeArrowheads="1"/>
                    </pic:cNvPicPr>
                  </pic:nvPicPr>
                  <pic:blipFill>
                    <a:blip r:embed="rId30"/>
                    <a:stretch>
                      <a:fillRect/>
                    </a:stretch>
                  </pic:blipFill>
                  <pic:spPr bwMode="auto">
                    <a:xfrm>
                      <a:off x="0" y="0"/>
                      <a:ext cx="3554095" cy="2187575"/>
                    </a:xfrm>
                    <a:prstGeom prst="rect">
                      <a:avLst/>
                    </a:prstGeom>
                  </pic:spPr>
                </pic:pic>
              </a:graphicData>
            </a:graphic>
          </wp:inline>
        </w:drawing>
      </w:r>
    </w:p>
    <w:p>
      <w:pPr>
        <w:pStyle w:val="Caption1"/>
        <w:rPr>
          <w:rFonts w:cs="Times New Roman"/>
          <w:szCs w:val="24"/>
        </w:rPr>
      </w:pPr>
      <w:bookmarkStart w:id="121" w:name="_Toc454940962"/>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19</w:t>
      </w:r>
      <w:r>
        <w:rPr>
          <w:b/>
          <w:szCs w:val="24"/>
          <w:rFonts w:cs="Times New Roman"/>
        </w:rPr>
        <w:fldChar w:fldCharType="end"/>
      </w:r>
      <w:r>
        <w:rPr>
          <w:rFonts w:cs="Times New Roman"/>
          <w:szCs w:val="24"/>
        </w:rPr>
        <w:t xml:space="preserve"> - Topmost F-scores of AAIndex for </w:t>
      </w:r>
      <w:r>
        <w:rPr>
          <w:rFonts w:cs="Times New Roman"/>
          <w:color w:val="231F20"/>
          <w:szCs w:val="24"/>
        </w:rPr>
        <w:t>10–250 amino acid residues</w:t>
      </w:r>
      <w:r>
        <w:rPr>
          <w:rFonts w:cs="Times New Roman"/>
          <w:szCs w:val="24"/>
        </w:rPr>
        <w:t xml:space="preserve"> in Class 1</w:t>
      </w:r>
      <w:bookmarkEnd w:id="121"/>
    </w:p>
    <w:p>
      <w:pPr>
        <w:pStyle w:val="Normal"/>
        <w:spacing w:lineRule="auto" w:line="360"/>
        <w:ind w:firstLine="720"/>
        <w:rPr>
          <w:rFonts w:cs="Times New Roman"/>
          <w:szCs w:val="24"/>
        </w:rPr>
      </w:pPr>
      <w:r>
        <w:rPr>
          <w:rFonts w:cs="Times New Roman"/>
          <w:szCs w:val="24"/>
        </w:rPr>
        <w:t>In this analysis phase, Figure 25 shows the visualization of selected 20 topmost F-score with amino acid indices. F-score information can be illustrated in the range 20-30 which has more F-score information than other parts.</w:t>
      </w:r>
    </w:p>
    <w:p>
      <w:pPr>
        <w:pStyle w:val="Normal"/>
        <w:spacing w:lineRule="auto" w:line="240"/>
        <w:jc w:val="center"/>
        <w:rPr/>
      </w:pPr>
      <w:r>
        <w:rPr/>
        <w:drawing>
          <wp:inline distT="0" distB="0" distL="0" distR="0">
            <wp:extent cx="3581400" cy="2095500"/>
            <wp:effectExtent l="0" t="0" r="0" b="0"/>
            <wp:docPr id="2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
                    <pic:cNvPicPr>
                      <a:picLocks noChangeAspect="1" noChangeArrowheads="1"/>
                    </pic:cNvPicPr>
                  </pic:nvPicPr>
                  <pic:blipFill>
                    <a:blip r:embed="rId31"/>
                    <a:stretch>
                      <a:fillRect/>
                    </a:stretch>
                  </pic:blipFill>
                  <pic:spPr bwMode="auto">
                    <a:xfrm>
                      <a:off x="0" y="0"/>
                      <a:ext cx="3581400" cy="2095500"/>
                    </a:xfrm>
                    <a:prstGeom prst="rect">
                      <a:avLst/>
                    </a:prstGeom>
                  </pic:spPr>
                </pic:pic>
              </a:graphicData>
            </a:graphic>
          </wp:inline>
        </w:drawing>
      </w:r>
    </w:p>
    <w:p>
      <w:pPr>
        <w:pStyle w:val="Caption1"/>
        <w:rPr>
          <w:rFonts w:cs="Times New Roman"/>
          <w:szCs w:val="24"/>
        </w:rPr>
      </w:pPr>
      <w:bookmarkStart w:id="122" w:name="_Toc454940963"/>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20</w:t>
      </w:r>
      <w:r>
        <w:rPr>
          <w:b/>
          <w:szCs w:val="24"/>
          <w:rFonts w:cs="Times New Roman"/>
        </w:rPr>
        <w:fldChar w:fldCharType="end"/>
      </w:r>
      <w:r>
        <w:rPr>
          <w:rFonts w:cs="Times New Roman"/>
          <w:b/>
          <w:szCs w:val="24"/>
        </w:rPr>
        <w:t xml:space="preserve"> </w:t>
      </w:r>
      <w:r>
        <w:rPr>
          <w:rFonts w:cs="Times New Roman"/>
          <w:szCs w:val="24"/>
        </w:rPr>
        <w:t xml:space="preserve">- Topmost F-scores of AAIndex for </w:t>
      </w:r>
      <w:r>
        <w:rPr>
          <w:rFonts w:cs="Times New Roman"/>
          <w:color w:val="231F20"/>
          <w:szCs w:val="24"/>
        </w:rPr>
        <w:t>10–250 amino acid residues</w:t>
      </w:r>
      <w:r>
        <w:rPr>
          <w:rFonts w:cs="Times New Roman"/>
          <w:szCs w:val="24"/>
        </w:rPr>
        <w:t xml:space="preserve"> in Class 2</w:t>
      </w:r>
      <w:bookmarkEnd w:id="122"/>
    </w:p>
    <w:p>
      <w:pPr>
        <w:pStyle w:val="Normal"/>
        <w:spacing w:lineRule="auto" w:line="360"/>
        <w:ind w:firstLine="720"/>
        <w:rPr>
          <w:rFonts w:cs="Times New Roman"/>
          <w:szCs w:val="24"/>
        </w:rPr>
      </w:pPr>
      <w:r>
        <w:rPr>
          <w:rFonts w:cs="Times New Roman"/>
          <w:szCs w:val="24"/>
        </w:rPr>
        <w:t>Whereas in the Figure 26 shows that the F-score information can be illustrated in the range 150-250 with the potential to provide important F-score information than other parts. F-score information belonging to Class 2 is larger than the Class 1. In the Class 3 (see Figure 27), F-score information can be illustrated in the range 10-60 with the potential to provide important F-score information than other parts. The analysis result in Figure 27 showed that some of the amino acid indices have high F-score information but some of them less F-score information and compared with the Figure 26 linearly F-score information is presented.</w:t>
      </w:r>
    </w:p>
    <w:p>
      <w:pPr>
        <w:pStyle w:val="Normal"/>
        <w:spacing w:lineRule="auto" w:line="240"/>
        <w:jc w:val="center"/>
        <w:rPr/>
      </w:pPr>
      <w:r>
        <w:rPr/>
        <w:drawing>
          <wp:inline distT="0" distB="0" distL="0" distR="3175">
            <wp:extent cx="4092575" cy="2495550"/>
            <wp:effectExtent l="0" t="0" r="0" b="0"/>
            <wp:docPr id="2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
                    <pic:cNvPicPr>
                      <a:picLocks noChangeAspect="1" noChangeArrowheads="1"/>
                    </pic:cNvPicPr>
                  </pic:nvPicPr>
                  <pic:blipFill>
                    <a:blip r:embed="rId32"/>
                    <a:stretch>
                      <a:fillRect/>
                    </a:stretch>
                  </pic:blipFill>
                  <pic:spPr bwMode="auto">
                    <a:xfrm>
                      <a:off x="0" y="0"/>
                      <a:ext cx="4092575" cy="2495550"/>
                    </a:xfrm>
                    <a:prstGeom prst="rect">
                      <a:avLst/>
                    </a:prstGeom>
                  </pic:spPr>
                </pic:pic>
              </a:graphicData>
            </a:graphic>
          </wp:inline>
        </w:drawing>
      </w:r>
    </w:p>
    <w:p>
      <w:pPr>
        <w:pStyle w:val="Caption1"/>
        <w:rPr>
          <w:rFonts w:cs="Times New Roman"/>
          <w:szCs w:val="24"/>
        </w:rPr>
      </w:pPr>
      <w:bookmarkStart w:id="123" w:name="_Toc454940964"/>
      <w:r>
        <w:rPr>
          <w:rFonts w:cs="Times New Roman"/>
          <w:b/>
          <w:szCs w:val="24"/>
        </w:rPr>
        <w:t xml:space="preserve">Figure </w:t>
      </w:r>
      <w:r>
        <w:rPr>
          <w:rFonts w:cs="Times New Roman"/>
          <w:b/>
          <w:szCs w:val="24"/>
        </w:rPr>
        <w:fldChar w:fldCharType="begin"/>
      </w:r>
      <w:r>
        <w:rPr>
          <w:b/>
          <w:szCs w:val="24"/>
          <w:rFonts w:cs="Times New Roman"/>
        </w:rPr>
        <w:instrText> SEQ Figure \* ARABIC </w:instrText>
      </w:r>
      <w:r>
        <w:rPr>
          <w:b/>
          <w:szCs w:val="24"/>
          <w:rFonts w:cs="Times New Roman"/>
        </w:rPr>
        <w:fldChar w:fldCharType="separate"/>
      </w:r>
      <w:r>
        <w:rPr>
          <w:b/>
          <w:szCs w:val="24"/>
          <w:rFonts w:cs="Times New Roman"/>
        </w:rPr>
        <w:t>21</w:t>
      </w:r>
      <w:r>
        <w:rPr>
          <w:b/>
          <w:szCs w:val="24"/>
          <w:rFonts w:cs="Times New Roman"/>
        </w:rPr>
        <w:fldChar w:fldCharType="end"/>
      </w:r>
      <w:r>
        <w:rPr>
          <w:rFonts w:cs="Times New Roman"/>
          <w:szCs w:val="24"/>
        </w:rPr>
        <w:t xml:space="preserve"> - Topmost F-scores of AAIndex for </w:t>
      </w:r>
      <w:r>
        <w:rPr>
          <w:rFonts w:cs="Times New Roman"/>
          <w:color w:val="231F20"/>
          <w:szCs w:val="24"/>
        </w:rPr>
        <w:t>10–250 amino acid residues</w:t>
      </w:r>
      <w:r>
        <w:rPr>
          <w:rFonts w:cs="Times New Roman"/>
          <w:szCs w:val="24"/>
        </w:rPr>
        <w:t xml:space="preserve"> in Class 3</w:t>
      </w:r>
      <w:bookmarkEnd w:id="123"/>
    </w:p>
    <w:p>
      <w:pPr>
        <w:pStyle w:val="Normal"/>
        <w:rPr/>
      </w:pPr>
      <w:r>
        <w:rPr/>
      </w:r>
    </w:p>
    <w:p>
      <w:pPr>
        <w:pStyle w:val="Heading2"/>
        <w:spacing w:lineRule="auto" w:line="360"/>
        <w:rPr/>
      </w:pPr>
      <w:bookmarkStart w:id="124" w:name="__RefHeading___Toc27400_277794404"/>
      <w:bookmarkStart w:id="125" w:name="_Toc455040219"/>
      <w:bookmarkEnd w:id="124"/>
      <w:r>
        <w:rPr/>
        <w:t>4.5. Identify Class of Efflux Protein Families in Genomic Sequences</w:t>
      </w:r>
      <w:bookmarkEnd w:id="125"/>
    </w:p>
    <w:p>
      <w:pPr>
        <w:pStyle w:val="Normal"/>
        <w:spacing w:lineRule="auto" w:line="360"/>
        <w:ind w:firstLine="720"/>
        <w:rPr>
          <w:rFonts w:cs="Times New Roman"/>
          <w:szCs w:val="24"/>
        </w:rPr>
      </w:pPr>
      <w:r>
        <w:rPr>
          <w:rFonts w:cs="Times New Roman"/>
          <w:szCs w:val="24"/>
        </w:rPr>
        <w:t xml:space="preserve">In this study, two types of genome are utilized to identify class of efflux proteins in genomic sequences using current method. Two types of genome are </w:t>
      </w:r>
      <w:r>
        <w:rPr>
          <w:rFonts w:cs="Times New Roman"/>
          <w:i/>
          <w:szCs w:val="24"/>
        </w:rPr>
        <w:t>escherichia coli</w:t>
      </w:r>
      <w:r>
        <w:rPr>
          <w:rFonts w:cs="Times New Roman"/>
          <w:szCs w:val="24"/>
        </w:rPr>
        <w:t xml:space="preserve"> or commonly abbreviated E. coli and </w:t>
      </w:r>
      <w:r>
        <w:rPr>
          <w:rFonts w:cs="Times New Roman"/>
          <w:i/>
          <w:szCs w:val="24"/>
        </w:rPr>
        <w:t>pseudomonas aeruginosa</w:t>
      </w:r>
      <w:r>
        <w:rPr>
          <w:rFonts w:cs="Times New Roman"/>
          <w:szCs w:val="24"/>
        </w:rPr>
        <w:t xml:space="preserve"> or commonly abbreviated P. aeruginosa. Initially, genomic sequences (E. coli and P. aeruginosa) are retrieved from Universal Protein Resource or Uniprot </w:t>
      </w:r>
      <w:r>
        <w:fldChar w:fldCharType="begin"/>
      </w:r>
      <w:r>
        <w:rPr>
          <w:szCs w:val="24"/>
          <w:rFonts w:cs="Times New Roman"/>
        </w:rPr>
        <w:instrText>ADDIN EN.CITE &lt;EndNote&gt;&lt;Cite&gt;&lt;Author&gt;Consortium&lt;/Author&gt;&lt;Year&gt;2010&lt;/Year&gt;&lt;RecNum&gt;88&lt;/RecNum&gt;&lt;DisplayText&gt;[85]&lt;/DisplayText&gt;&lt;record&gt;&lt;rec-number&gt;88&lt;/rec-number&gt;&lt;foreign-keys&gt;&lt;key app="EN" db-id="2warfrwsqwwxzpe00v350s2vvz52tt0pvew0" timestamp="1455888721"&gt;88&lt;/key&gt;&lt;/foreign-keys&gt;&lt;ref-type name="Journal Article"&gt;17&lt;/ref-type&gt;&lt;contributors&gt;&lt;authors&gt;&lt;author&gt;UniProt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1&lt;/number&gt;&lt;dates&gt;&lt;year&gt;2010&lt;/year&gt;&lt;/dates&gt;&lt;isbn&gt;0305-1048&lt;/isbn&gt;&lt;urls&gt;&lt;/urls&gt;&lt;/record&gt;&lt;/Cite&gt;&lt;/EndNote&gt;</w:instrText>
      </w:r>
      <w:r>
        <w:rPr>
          <w:szCs w:val="24"/>
          <w:rFonts w:cs="Times New Roman"/>
        </w:rPr>
        <w:fldChar w:fldCharType="separate"/>
      </w:r>
      <w:bookmarkStart w:id="126" w:name="__Fieldmark__25310_277794404"/>
      <w:r>
        <w:rPr>
          <w:rFonts w:cs="Times New Roman"/>
          <w:szCs w:val="24"/>
        </w:rPr>
        <w:t>[85]</w:t>
      </w:r>
      <w:r>
        <w:rPr>
          <w:rFonts w:cs="Times New Roman"/>
          <w:szCs w:val="24"/>
        </w:rPr>
      </w:r>
      <w:r>
        <w:rPr>
          <w:szCs w:val="24"/>
          <w:rFonts w:cs="Times New Roman"/>
        </w:rPr>
        <w:fldChar w:fldCharType="end"/>
      </w:r>
      <w:hyperlink w:anchor="_ENREF_85" w:tgtFrame="Consortium, 2010 #88">
        <w:bookmarkEnd w:id="126"/>
        <w:r>
          <w:rPr>
            <w:rFonts w:cs="Times New Roman"/>
            <w:szCs w:val="24"/>
          </w:rPr>
          <w:t>. We collected 4434 proteins of E. coli and 5638 proteins of P. aeruginosa and then, (i) by using genome annotations of each efflux protein family in Uniprot to predict total proteins belong to each class. Lastly, (ii) using the present method to identify class of efflux protein families in genomic sequences, and then compare the performance of identifications.</w:t>
        </w:r>
      </w:hyperlink>
    </w:p>
    <w:p>
      <w:pPr>
        <w:pStyle w:val="Caption1"/>
        <w:spacing w:lineRule="auto" w:line="360" w:before="0" w:after="0"/>
        <w:rPr>
          <w:rFonts w:cs="Times New Roman"/>
          <w:szCs w:val="24"/>
        </w:rPr>
      </w:pPr>
      <w:bookmarkStart w:id="127" w:name="_Toc454736527"/>
      <w:r>
        <w:rPr>
          <w:b/>
        </w:rPr>
        <w:t xml:space="preserve">Table </w:t>
      </w:r>
      <w:r>
        <w:rPr>
          <w:b/>
        </w:rPr>
        <w:fldChar w:fldCharType="begin"/>
      </w:r>
      <w:r>
        <w:rPr>
          <w:b/>
        </w:rPr>
        <w:instrText> SEQ Table \* ARABIC </w:instrText>
      </w:r>
      <w:r>
        <w:rPr>
          <w:b/>
        </w:rPr>
        <w:fldChar w:fldCharType="separate"/>
      </w:r>
      <w:r>
        <w:rPr>
          <w:b/>
        </w:rPr>
        <w:t>12</w:t>
      </w:r>
      <w:r>
        <w:rPr>
          <w:b/>
        </w:rPr>
        <w:fldChar w:fldCharType="end"/>
      </w:r>
      <w:r>
        <w:rPr/>
        <w:t xml:space="preserve"> - Identify using the present method in E. coli</w:t>
      </w:r>
      <w:bookmarkEnd w:id="127"/>
    </w:p>
    <w:tbl>
      <w:tblPr>
        <w:tblStyle w:val="TableGrid"/>
        <w:tblW w:w="9468" w:type="dxa"/>
        <w:jc w:val="left"/>
        <w:tblInd w:w="109" w:type="dxa"/>
        <w:tblCellMar>
          <w:top w:w="0" w:type="dxa"/>
          <w:left w:w="108" w:type="dxa"/>
          <w:bottom w:w="0" w:type="dxa"/>
          <w:right w:w="108" w:type="dxa"/>
        </w:tblCellMar>
        <w:tblLook w:firstRow="1" w:noVBand="1" w:lastRow="0" w:firstColumn="1" w:lastColumn="0" w:noHBand="0" w:val="04a0"/>
      </w:tblPr>
      <w:tblGrid>
        <w:gridCol w:w="567"/>
        <w:gridCol w:w="717"/>
        <w:gridCol w:w="3408"/>
        <w:gridCol w:w="1800"/>
        <w:gridCol w:w="1194"/>
        <w:gridCol w:w="1781"/>
      </w:tblGrid>
      <w:tr>
        <w:trPr/>
        <w:tc>
          <w:tcPr>
            <w:tcW w:w="567" w:type="dxa"/>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No.</w:t>
            </w:r>
          </w:p>
        </w:tc>
        <w:tc>
          <w:tcPr>
            <w:tcW w:w="717" w:type="dxa"/>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Class</w:t>
            </w:r>
          </w:p>
        </w:tc>
        <w:tc>
          <w:tcPr>
            <w:tcW w:w="3408" w:type="dxa"/>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Efflux Family</w:t>
            </w:r>
          </w:p>
        </w:tc>
        <w:tc>
          <w:tcPr>
            <w:tcW w:w="2994" w:type="dxa"/>
            <w:gridSpan w:val="2"/>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Escherichia Coli</w:t>
            </w:r>
          </w:p>
          <w:p>
            <w:pPr>
              <w:pStyle w:val="Normal"/>
              <w:spacing w:lineRule="auto" w:line="240" w:before="0" w:after="0"/>
              <w:jc w:val="center"/>
              <w:rPr>
                <w:rFonts w:cs="Times New Roman"/>
                <w:b/>
                <w:b/>
                <w:sz w:val="16"/>
                <w:szCs w:val="16"/>
              </w:rPr>
            </w:pPr>
            <w:r>
              <w:rPr>
                <w:rFonts w:cs="Times New Roman"/>
                <w:b/>
                <w:kern w:val="2"/>
                <w:sz w:val="16"/>
                <w:szCs w:val="16"/>
                <w:lang w:eastAsia="zh-TW"/>
              </w:rPr>
              <w:t>(Based on Classification)</w:t>
            </w:r>
          </w:p>
        </w:tc>
        <w:tc>
          <w:tcPr>
            <w:tcW w:w="1781" w:type="dxa"/>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Identification using Current Method</w:t>
            </w:r>
          </w:p>
        </w:tc>
      </w:tr>
      <w:tr>
        <w:trPr/>
        <w:tc>
          <w:tcPr>
            <w:tcW w:w="567" w:type="dxa"/>
            <w:tcBorders>
              <w:left w:val="nil"/>
              <w:bottom w:val="nil"/>
              <w:right w:val="nil"/>
              <w:insideH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1</w:t>
            </w:r>
          </w:p>
        </w:tc>
        <w:tc>
          <w:tcPr>
            <w:tcW w:w="717" w:type="dxa"/>
            <w:vMerge w:val="restart"/>
            <w:tcBorders>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rPr>
            </w:pPr>
            <w:r>
              <w:rPr>
                <w:rFonts w:cs="Times New Roman"/>
                <w:kern w:val="2"/>
                <w:lang w:eastAsia="zh-TW"/>
              </w:rPr>
              <w:t>A</w:t>
            </w:r>
          </w:p>
        </w:tc>
        <w:tc>
          <w:tcPr>
            <w:tcW w:w="3408" w:type="dxa"/>
            <w:tcBorders>
              <w:left w:val="nil"/>
              <w:bottom w:val="nil"/>
              <w:right w:val="nil"/>
              <w:insideH w:val="nil"/>
              <w:insideV w:val="nil"/>
            </w:tcBorders>
            <w:shd w:color="auto" w:fill="C5E0B3" w:themeFill="accent6" w:themeFillTint="66" w:val="clear"/>
          </w:tcPr>
          <w:p>
            <w:pPr>
              <w:pStyle w:val="Normal"/>
              <w:spacing w:lineRule="auto" w:line="240" w:before="0" w:after="0"/>
              <w:rPr>
                <w:rFonts w:cs="Times New Roman"/>
                <w:sz w:val="16"/>
                <w:szCs w:val="16"/>
              </w:rPr>
            </w:pPr>
            <w:r>
              <w:rPr>
                <w:rFonts w:cs="Times New Roman"/>
                <w:kern w:val="2"/>
                <w:sz w:val="16"/>
                <w:szCs w:val="16"/>
                <w:lang w:eastAsia="zh-TW"/>
              </w:rPr>
              <w:t>The Major Facilitator Superfamily (MFS)</w:t>
            </w:r>
          </w:p>
        </w:tc>
        <w:tc>
          <w:tcPr>
            <w:tcW w:w="1800" w:type="dxa"/>
            <w:tcBorders>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86</w:t>
            </w:r>
          </w:p>
        </w:tc>
        <w:tc>
          <w:tcPr>
            <w:tcW w:w="1194" w:type="dxa"/>
            <w:vMerge w:val="restart"/>
            <w:tcBorders>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93</w:t>
            </w:r>
          </w:p>
        </w:tc>
        <w:tc>
          <w:tcPr>
            <w:tcW w:w="1781" w:type="dxa"/>
            <w:vMerge w:val="restart"/>
            <w:tcBorders>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130</w:t>
            </w:r>
          </w:p>
        </w:tc>
      </w:tr>
      <w:tr>
        <w:trPr/>
        <w:tc>
          <w:tcPr>
            <w:tcW w:w="56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2</w:t>
            </w:r>
          </w:p>
        </w:tc>
        <w:tc>
          <w:tcPr>
            <w:tcW w:w="717" w:type="dxa"/>
            <w:vMerge w:val="continue"/>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kern w:val="2"/>
                <w:lang w:eastAsia="zh-TW"/>
              </w:rPr>
            </w:pPr>
            <w:r>
              <w:rPr>
                <w:rFonts w:cs="Times New Roman"/>
                <w:kern w:val="2"/>
                <w:lang w:eastAsia="zh-TW"/>
              </w:rPr>
            </w:r>
          </w:p>
        </w:tc>
        <w:tc>
          <w:tcPr>
            <w:tcW w:w="3408" w:type="dxa"/>
            <w:tcBorders>
              <w:top w:val="nil"/>
              <w:left w:val="nil"/>
              <w:bottom w:val="nil"/>
              <w:right w:val="nil"/>
              <w:insideH w:val="nil"/>
              <w:insideV w:val="nil"/>
            </w:tcBorders>
            <w:shd w:color="auto" w:fill="C5E0B3" w:themeFill="accent6" w:themeFillTint="66" w:val="clear"/>
          </w:tcPr>
          <w:p>
            <w:pPr>
              <w:pStyle w:val="Normal"/>
              <w:spacing w:lineRule="auto" w:line="240" w:before="0" w:after="0"/>
              <w:rPr>
                <w:rFonts w:cs="Times New Roman"/>
                <w:sz w:val="16"/>
                <w:szCs w:val="16"/>
              </w:rPr>
            </w:pPr>
            <w:r>
              <w:rPr>
                <w:rFonts w:cs="Times New Roman"/>
                <w:kern w:val="2"/>
                <w:sz w:val="16"/>
                <w:szCs w:val="16"/>
                <w:lang w:eastAsia="zh-TW"/>
              </w:rPr>
              <w:t>The small multidrug resistance (SMR) protein family</w:t>
            </w:r>
          </w:p>
        </w:tc>
        <w:tc>
          <w:tcPr>
            <w:tcW w:w="1800" w:type="dxa"/>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4</w:t>
            </w:r>
          </w:p>
        </w:tc>
        <w:tc>
          <w:tcPr>
            <w:tcW w:w="1194" w:type="dxa"/>
            <w:vMerge w:val="continue"/>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781" w:type="dxa"/>
            <w:vMerge w:val="continue"/>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r>
      <w:tr>
        <w:trPr/>
        <w:tc>
          <w:tcPr>
            <w:tcW w:w="56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3</w:t>
            </w:r>
          </w:p>
        </w:tc>
        <w:tc>
          <w:tcPr>
            <w:tcW w:w="717" w:type="dxa"/>
            <w:vMerge w:val="continue"/>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kern w:val="2"/>
                <w:lang w:eastAsia="zh-TW"/>
              </w:rPr>
            </w:pPr>
            <w:r>
              <w:rPr>
                <w:rFonts w:cs="Times New Roman"/>
                <w:kern w:val="2"/>
                <w:lang w:eastAsia="zh-TW"/>
              </w:rPr>
            </w:r>
          </w:p>
        </w:tc>
        <w:tc>
          <w:tcPr>
            <w:tcW w:w="3408" w:type="dxa"/>
            <w:tcBorders>
              <w:top w:val="nil"/>
              <w:left w:val="nil"/>
              <w:bottom w:val="nil"/>
              <w:right w:val="nil"/>
              <w:insideH w:val="nil"/>
              <w:insideV w:val="nil"/>
            </w:tcBorders>
            <w:shd w:color="auto" w:fill="C5E0B3" w:themeFill="accent6" w:themeFillTint="66" w:val="clear"/>
          </w:tcPr>
          <w:p>
            <w:pPr>
              <w:pStyle w:val="Normal"/>
              <w:spacing w:lineRule="auto" w:line="240" w:before="0" w:after="0"/>
              <w:rPr>
                <w:rFonts w:cs="Times New Roman"/>
                <w:sz w:val="16"/>
                <w:szCs w:val="16"/>
              </w:rPr>
            </w:pPr>
            <w:r>
              <w:rPr>
                <w:rFonts w:cs="Times New Roman"/>
                <w:kern w:val="2"/>
                <w:sz w:val="16"/>
                <w:szCs w:val="16"/>
                <w:lang w:eastAsia="zh-TW"/>
              </w:rPr>
              <w:t>The Multi Antimicrobial Extrusion (MATE) Family</w:t>
            </w:r>
          </w:p>
        </w:tc>
        <w:tc>
          <w:tcPr>
            <w:tcW w:w="1800" w:type="dxa"/>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3</w:t>
            </w:r>
          </w:p>
        </w:tc>
        <w:tc>
          <w:tcPr>
            <w:tcW w:w="1194" w:type="dxa"/>
            <w:vMerge w:val="continue"/>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781" w:type="dxa"/>
            <w:vMerge w:val="continue"/>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r>
      <w:tr>
        <w:trPr/>
        <w:tc>
          <w:tcPr>
            <w:tcW w:w="567" w:type="dxa"/>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4</w:t>
            </w:r>
          </w:p>
        </w:tc>
        <w:tc>
          <w:tcPr>
            <w:tcW w:w="717" w:type="dxa"/>
            <w:tcBorders>
              <w:top w:val="nil"/>
              <w:left w:val="nil"/>
              <w:bottom w:val="nil"/>
              <w:right w:val="nil"/>
              <w:insideH w:val="nil"/>
              <w:insideV w:val="nil"/>
            </w:tcBorders>
            <w:shd w:color="auto" w:fill="8EAADB" w:themeFill="accent5" w:themeFillTint="99" w:val="clear"/>
            <w:vAlign w:val="center"/>
          </w:tcPr>
          <w:p>
            <w:pPr>
              <w:pStyle w:val="Normal"/>
              <w:spacing w:lineRule="auto" w:line="240" w:before="0" w:after="0"/>
              <w:jc w:val="center"/>
              <w:rPr>
                <w:rFonts w:cs="Times New Roman"/>
              </w:rPr>
            </w:pPr>
            <w:r>
              <w:rPr>
                <w:rFonts w:cs="Times New Roman"/>
                <w:kern w:val="2"/>
                <w:lang w:eastAsia="zh-TW"/>
              </w:rPr>
              <w:t>B</w:t>
            </w:r>
          </w:p>
        </w:tc>
        <w:tc>
          <w:tcPr>
            <w:tcW w:w="3408" w:type="dxa"/>
            <w:tcBorders>
              <w:top w:val="nil"/>
              <w:left w:val="nil"/>
              <w:bottom w:val="nil"/>
              <w:right w:val="nil"/>
              <w:insideH w:val="nil"/>
              <w:insideV w:val="nil"/>
            </w:tcBorders>
            <w:shd w:color="auto" w:fill="8EAADB" w:themeFill="accent5" w:themeFillTint="99" w:val="clear"/>
          </w:tcPr>
          <w:p>
            <w:pPr>
              <w:pStyle w:val="Normal"/>
              <w:spacing w:lineRule="auto" w:line="240" w:before="0" w:after="0"/>
              <w:rPr>
                <w:rFonts w:cs="Times New Roman"/>
                <w:sz w:val="16"/>
                <w:szCs w:val="16"/>
              </w:rPr>
            </w:pPr>
            <w:r>
              <w:rPr>
                <w:rFonts w:cs="Times New Roman"/>
                <w:kern w:val="2"/>
                <w:sz w:val="16"/>
                <w:szCs w:val="16"/>
                <w:lang w:eastAsia="zh-TW"/>
              </w:rPr>
              <w:t>The Resistance-Nodulation-Cell Division (RND) Superfamily</w:t>
            </w:r>
          </w:p>
        </w:tc>
        <w:tc>
          <w:tcPr>
            <w:tcW w:w="1800" w:type="dxa"/>
            <w:tcBorders>
              <w:top w:val="nil"/>
              <w:left w:val="nil"/>
              <w:bottom w:val="nil"/>
              <w:right w:val="nil"/>
              <w:insideH w:val="nil"/>
              <w:insideV w:val="nil"/>
            </w:tcBorders>
            <w:shd w:color="auto" w:fill="8EAADB" w:themeFill="accent5" w:themeFillTint="99"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12</w:t>
            </w:r>
          </w:p>
        </w:tc>
        <w:tc>
          <w:tcPr>
            <w:tcW w:w="1194" w:type="dxa"/>
            <w:tcBorders>
              <w:top w:val="nil"/>
              <w:left w:val="nil"/>
              <w:bottom w:val="nil"/>
              <w:right w:val="nil"/>
              <w:insideH w:val="nil"/>
              <w:insideV w:val="nil"/>
            </w:tcBorders>
            <w:shd w:color="auto" w:fill="8EAADB" w:themeFill="accent5" w:themeFillTint="99"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12</w:t>
            </w:r>
          </w:p>
        </w:tc>
        <w:tc>
          <w:tcPr>
            <w:tcW w:w="1781" w:type="dxa"/>
            <w:tcBorders>
              <w:top w:val="nil"/>
              <w:left w:val="nil"/>
              <w:bottom w:val="nil"/>
              <w:right w:val="nil"/>
              <w:insideH w:val="nil"/>
              <w:insideV w:val="nil"/>
            </w:tcBorders>
            <w:shd w:color="auto" w:fill="8EAADB" w:themeFill="accent5" w:themeFillTint="99"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32</w:t>
            </w:r>
          </w:p>
        </w:tc>
      </w:tr>
      <w:tr>
        <w:trPr/>
        <w:tc>
          <w:tcPr>
            <w:tcW w:w="567" w:type="dxa"/>
            <w:tcBorders>
              <w:top w:val="nil"/>
              <w:left w:val="nil"/>
              <w:right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5</w:t>
            </w:r>
          </w:p>
        </w:tc>
        <w:tc>
          <w:tcPr>
            <w:tcW w:w="717" w:type="dxa"/>
            <w:tcBorders>
              <w:top w:val="nil"/>
              <w:left w:val="nil"/>
              <w:right w:val="nil"/>
              <w:insideV w:val="nil"/>
            </w:tcBorders>
            <w:shd w:color="auto" w:fill="FFE599" w:themeFill="accent4" w:themeFillTint="66" w:val="clear"/>
            <w:vAlign w:val="center"/>
          </w:tcPr>
          <w:p>
            <w:pPr>
              <w:pStyle w:val="Normal"/>
              <w:spacing w:lineRule="auto" w:line="240" w:before="0" w:after="0"/>
              <w:jc w:val="center"/>
              <w:rPr>
                <w:rFonts w:cs="Times New Roman"/>
              </w:rPr>
            </w:pPr>
            <w:r>
              <w:rPr>
                <w:rFonts w:cs="Times New Roman"/>
                <w:kern w:val="2"/>
                <w:lang w:eastAsia="zh-TW"/>
              </w:rPr>
              <w:t>C</w:t>
            </w:r>
          </w:p>
        </w:tc>
        <w:tc>
          <w:tcPr>
            <w:tcW w:w="3408" w:type="dxa"/>
            <w:tcBorders>
              <w:top w:val="nil"/>
              <w:left w:val="nil"/>
              <w:right w:val="nil"/>
              <w:insideV w:val="nil"/>
            </w:tcBorders>
            <w:shd w:color="auto" w:fill="FFE599" w:themeFill="accent4" w:themeFillTint="66" w:val="clear"/>
          </w:tcPr>
          <w:p>
            <w:pPr>
              <w:pStyle w:val="Normal"/>
              <w:spacing w:lineRule="auto" w:line="240" w:before="0" w:after="0"/>
              <w:rPr>
                <w:rFonts w:cs="Times New Roman"/>
                <w:sz w:val="16"/>
                <w:szCs w:val="16"/>
              </w:rPr>
            </w:pPr>
            <w:r>
              <w:rPr>
                <w:rFonts w:cs="Times New Roman"/>
                <w:kern w:val="2"/>
                <w:sz w:val="16"/>
                <w:szCs w:val="16"/>
                <w:lang w:eastAsia="zh-TW"/>
              </w:rPr>
              <w:t>The ATP-binding Cassette (ABC) Superfamily</w:t>
            </w:r>
          </w:p>
        </w:tc>
        <w:tc>
          <w:tcPr>
            <w:tcW w:w="1800" w:type="dxa"/>
            <w:tcBorders>
              <w:top w:val="nil"/>
              <w:left w:val="nil"/>
              <w:right w:val="nil"/>
              <w:insideV w:val="nil"/>
            </w:tcBorders>
            <w:shd w:color="auto" w:fill="FFE599" w:themeFill="accent4"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205</w:t>
            </w:r>
          </w:p>
        </w:tc>
        <w:tc>
          <w:tcPr>
            <w:tcW w:w="1194" w:type="dxa"/>
            <w:tcBorders>
              <w:top w:val="nil"/>
              <w:left w:val="nil"/>
              <w:right w:val="nil"/>
              <w:insideV w:val="nil"/>
            </w:tcBorders>
            <w:shd w:color="auto" w:fill="FFE599" w:themeFill="accent4"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205</w:t>
            </w:r>
          </w:p>
        </w:tc>
        <w:tc>
          <w:tcPr>
            <w:tcW w:w="1781" w:type="dxa"/>
            <w:tcBorders>
              <w:top w:val="nil"/>
              <w:left w:val="nil"/>
              <w:right w:val="nil"/>
              <w:insideV w:val="nil"/>
            </w:tcBorders>
            <w:shd w:color="auto" w:fill="FFE599" w:themeFill="accent4"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263</w:t>
            </w:r>
          </w:p>
        </w:tc>
      </w:tr>
      <w:tr>
        <w:trPr/>
        <w:tc>
          <w:tcPr>
            <w:tcW w:w="4692" w:type="dxa"/>
            <w:gridSpan w:val="3"/>
            <w:tcBorders>
              <w:left w:val="nil"/>
              <w:bottom w:val="nil"/>
              <w:right w:val="nil"/>
              <w:insideH w:val="nil"/>
              <w:insideV w:val="nil"/>
            </w:tcBorders>
            <w:shd w:fill="auto" w:val="clear"/>
            <w:vAlign w:val="center"/>
          </w:tcPr>
          <w:p>
            <w:pPr>
              <w:pStyle w:val="Normal"/>
              <w:spacing w:lineRule="auto" w:line="240" w:before="0" w:after="0"/>
              <w:rPr>
                <w:rFonts w:cs="Times New Roman"/>
              </w:rPr>
            </w:pPr>
            <w:r>
              <w:rPr>
                <w:rFonts w:cs="Times New Roman"/>
                <w:kern w:val="2"/>
                <w:lang w:eastAsia="zh-TW"/>
              </w:rPr>
              <w:t>Total</w:t>
            </w:r>
          </w:p>
        </w:tc>
        <w:tc>
          <w:tcPr>
            <w:tcW w:w="1800" w:type="dxa"/>
            <w:tcBorders>
              <w:left w:val="nil"/>
              <w:bottom w:val="nil"/>
              <w:right w:val="nil"/>
              <w:insideH w:val="nil"/>
              <w:insideV w:val="nil"/>
            </w:tcBorders>
            <w:shd w:fill="auto"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310</w:t>
            </w:r>
          </w:p>
        </w:tc>
        <w:tc>
          <w:tcPr>
            <w:tcW w:w="1194" w:type="dxa"/>
            <w:vMerge w:val="restart"/>
            <w:tcBorders>
              <w:left w:val="nil"/>
              <w:bottom w:val="nil"/>
              <w:right w:val="nil"/>
              <w:insideH w:val="nil"/>
              <w:insideV w:val="nil"/>
            </w:tcBorders>
            <w:shd w:fill="auto"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781" w:type="dxa"/>
            <w:tcBorders>
              <w:left w:val="nil"/>
              <w:bottom w:val="nil"/>
              <w:right w:val="nil"/>
              <w:insideH w:val="nil"/>
              <w:insideV w:val="nil"/>
            </w:tcBorders>
            <w:shd w:fill="auto"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425</w:t>
            </w:r>
          </w:p>
        </w:tc>
      </w:tr>
      <w:tr>
        <w:trPr/>
        <w:tc>
          <w:tcPr>
            <w:tcW w:w="4692" w:type="dxa"/>
            <w:gridSpan w:val="3"/>
            <w:tcBorders>
              <w:top w:val="nil"/>
              <w:left w:val="nil"/>
              <w:bottom w:val="nil"/>
              <w:right w:val="nil"/>
              <w:insideH w:val="nil"/>
              <w:insideV w:val="nil"/>
            </w:tcBorders>
            <w:shd w:fill="auto" w:val="clear"/>
            <w:vAlign w:val="center"/>
          </w:tcPr>
          <w:p>
            <w:pPr>
              <w:pStyle w:val="Normal"/>
              <w:spacing w:lineRule="auto" w:line="240" w:before="0" w:after="0"/>
              <w:rPr>
                <w:rFonts w:cs="Times New Roman"/>
              </w:rPr>
            </w:pPr>
            <w:r>
              <w:rPr>
                <w:rFonts w:cs="Times New Roman"/>
                <w:kern w:val="2"/>
                <w:lang w:eastAsia="zh-TW"/>
              </w:rPr>
              <w:t>All Proteins from Uniprot [E. coli]</w:t>
            </w:r>
          </w:p>
        </w:tc>
        <w:tc>
          <w:tcPr>
            <w:tcW w:w="1800" w:type="dxa"/>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b/>
                <w:b/>
                <w:sz w:val="16"/>
                <w:szCs w:val="16"/>
              </w:rPr>
            </w:pPr>
            <w:r>
              <w:rPr>
                <w:rStyle w:val="Strong"/>
                <w:rFonts w:ascii="Verdana" w:hAnsi="Verdana"/>
                <w:color w:val="222222"/>
                <w:kern w:val="2"/>
                <w:sz w:val="16"/>
                <w:szCs w:val="16"/>
                <w:lang w:eastAsia="zh-TW"/>
              </w:rPr>
              <w:t>4434</w:t>
            </w:r>
          </w:p>
        </w:tc>
        <w:tc>
          <w:tcPr>
            <w:tcW w:w="1194" w:type="dxa"/>
            <w:vMerge w:val="continue"/>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781" w:type="dxa"/>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sz w:val="16"/>
                <w:szCs w:val="16"/>
              </w:rPr>
            </w:pPr>
            <w:r>
              <w:rPr>
                <w:rStyle w:val="Strong"/>
                <w:rFonts w:ascii="Verdana" w:hAnsi="Verdana"/>
                <w:color w:val="222222"/>
                <w:kern w:val="2"/>
                <w:sz w:val="16"/>
                <w:szCs w:val="16"/>
                <w:lang w:eastAsia="zh-TW"/>
              </w:rPr>
              <w:t>4434</w:t>
            </w:r>
          </w:p>
        </w:tc>
      </w:tr>
      <w:tr>
        <w:trPr/>
        <w:tc>
          <w:tcPr>
            <w:tcW w:w="4692" w:type="dxa"/>
            <w:gridSpan w:val="3"/>
            <w:tcBorders>
              <w:top w:val="nil"/>
              <w:left w:val="nil"/>
              <w:right w:val="nil"/>
              <w:insideV w:val="nil"/>
            </w:tcBorders>
            <w:shd w:fill="auto" w:val="clear"/>
            <w:vAlign w:val="center"/>
          </w:tcPr>
          <w:p>
            <w:pPr>
              <w:pStyle w:val="Normal"/>
              <w:spacing w:lineRule="auto" w:line="240" w:before="0" w:after="0"/>
              <w:rPr>
                <w:rFonts w:cs="Times New Roman"/>
              </w:rPr>
            </w:pPr>
            <w:r>
              <w:rPr>
                <w:rFonts w:cs="Times New Roman"/>
                <w:kern w:val="2"/>
                <w:lang w:eastAsia="zh-TW"/>
              </w:rPr>
              <w:t>Percentage</w:t>
            </w:r>
          </w:p>
        </w:tc>
        <w:tc>
          <w:tcPr>
            <w:tcW w:w="1800" w:type="dxa"/>
            <w:tcBorders>
              <w:top w:val="nil"/>
              <w:left w:val="nil"/>
              <w:right w:val="nil"/>
              <w:insideV w:val="nil"/>
            </w:tcBorders>
            <w:shd w:fill="auto"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6.99%</w:t>
            </w:r>
          </w:p>
        </w:tc>
        <w:tc>
          <w:tcPr>
            <w:tcW w:w="1194" w:type="dxa"/>
            <w:vMerge w:val="continue"/>
            <w:tcBorders>
              <w:top w:val="nil"/>
              <w:left w:val="nil"/>
              <w:right w:val="nil"/>
              <w:insideV w:val="nil"/>
            </w:tcBorders>
            <w:shd w:fill="auto"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781" w:type="dxa"/>
            <w:tcBorders>
              <w:top w:val="nil"/>
              <w:left w:val="nil"/>
              <w:right w:val="nil"/>
              <w:insideV w:val="nil"/>
            </w:tcBorders>
            <w:shd w:fill="auto"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9.59%</w:t>
            </w:r>
          </w:p>
        </w:tc>
      </w:tr>
    </w:tbl>
    <w:p>
      <w:pPr>
        <w:pStyle w:val="Normal"/>
        <w:spacing w:lineRule="auto" w:line="360"/>
        <w:rPr>
          <w:rFonts w:cs="Times New Roman"/>
          <w:szCs w:val="24"/>
        </w:rPr>
      </w:pPr>
      <w:r>
        <w:rPr>
          <w:rFonts w:cs="Times New Roman"/>
          <w:szCs w:val="24"/>
        </w:rPr>
      </w:r>
    </w:p>
    <w:p>
      <w:pPr>
        <w:pStyle w:val="Normal"/>
        <w:spacing w:lineRule="auto" w:line="360"/>
        <w:ind w:firstLine="720"/>
        <w:rPr>
          <w:rFonts w:cs="Times New Roman"/>
          <w:szCs w:val="24"/>
        </w:rPr>
      </w:pPr>
      <w:r>
        <w:rPr>
          <w:rFonts w:cs="Times New Roman"/>
          <w:szCs w:val="24"/>
        </w:rPr>
        <w:t xml:space="preserve">The experiment results using current method showed in the Table 16. We have compared the performance of current method with identifying the genomic sequences using genome annotations. Interestingly, by using our present method we identified 130 proteins of Class A, 32 proteins of Class B and 263 proteins of Class B in this genome (E. coli). Where, the percentage increases 9.59% from 6.99% of genome annotations. </w:t>
      </w:r>
    </w:p>
    <w:p>
      <w:pPr>
        <w:pStyle w:val="Normal"/>
        <w:spacing w:lineRule="auto" w:line="360"/>
        <w:ind w:firstLine="720"/>
        <w:rPr>
          <w:rFonts w:cs="Times New Roman"/>
          <w:szCs w:val="24"/>
        </w:rPr>
      </w:pPr>
      <w:r>
        <w:rPr>
          <w:rFonts w:cs="Times New Roman"/>
          <w:szCs w:val="24"/>
        </w:rPr>
        <w:t>Similarly, we used the same step to identify the genomic sequences in P. aeruginosa, see in the Table 17. We found by using our present method we identified 126 proteins of Class A, 38 proteins of Class B, and 226 proteins of Class C in the genomes (P. aeruginosa) and the percentage increases 6.92% from 3.5% of genome annotations.</w:t>
      </w:r>
    </w:p>
    <w:p>
      <w:pPr>
        <w:pStyle w:val="Caption1"/>
        <w:spacing w:lineRule="auto" w:line="360" w:before="0" w:after="0"/>
        <w:rPr>
          <w:rFonts w:cs="Times New Roman"/>
          <w:szCs w:val="24"/>
        </w:rPr>
      </w:pPr>
      <w:bookmarkStart w:id="128" w:name="_Toc454736528"/>
      <w:r>
        <w:rPr>
          <w:b/>
        </w:rPr>
        <w:t xml:space="preserve">Table </w:t>
      </w:r>
      <w:r>
        <w:rPr>
          <w:b/>
        </w:rPr>
        <w:fldChar w:fldCharType="begin"/>
      </w:r>
      <w:r>
        <w:rPr>
          <w:b/>
        </w:rPr>
        <w:instrText> SEQ Table \* ARABIC </w:instrText>
      </w:r>
      <w:r>
        <w:rPr>
          <w:b/>
        </w:rPr>
        <w:fldChar w:fldCharType="separate"/>
      </w:r>
      <w:r>
        <w:rPr>
          <w:b/>
        </w:rPr>
        <w:t>13</w:t>
      </w:r>
      <w:r>
        <w:rPr>
          <w:b/>
        </w:rPr>
        <w:fldChar w:fldCharType="end"/>
      </w:r>
      <w:r>
        <w:rPr/>
        <w:t xml:space="preserve"> - Identify using the present method in P. aeruginosa</w:t>
      </w:r>
      <w:bookmarkEnd w:id="128"/>
    </w:p>
    <w:tbl>
      <w:tblPr>
        <w:tblStyle w:val="TableGrid"/>
        <w:tblW w:w="9467" w:type="dxa"/>
        <w:jc w:val="left"/>
        <w:tblInd w:w="109" w:type="dxa"/>
        <w:tblCellMar>
          <w:top w:w="0" w:type="dxa"/>
          <w:left w:w="108" w:type="dxa"/>
          <w:bottom w:w="0" w:type="dxa"/>
          <w:right w:w="108" w:type="dxa"/>
        </w:tblCellMar>
        <w:tblLook w:firstRow="1" w:noVBand="1" w:lastRow="0" w:firstColumn="1" w:lastColumn="0" w:noHBand="0" w:val="04a0"/>
      </w:tblPr>
      <w:tblGrid>
        <w:gridCol w:w="566"/>
        <w:gridCol w:w="717"/>
        <w:gridCol w:w="3405"/>
        <w:gridCol w:w="1"/>
        <w:gridCol w:w="1801"/>
        <w:gridCol w:w="1"/>
        <w:gridCol w:w="1162"/>
        <w:gridCol w:w="1"/>
        <w:gridCol w:w="1"/>
        <w:gridCol w:w="1811"/>
      </w:tblGrid>
      <w:tr>
        <w:trPr/>
        <w:tc>
          <w:tcPr>
            <w:tcW w:w="566" w:type="dxa"/>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No.</w:t>
            </w:r>
          </w:p>
        </w:tc>
        <w:tc>
          <w:tcPr>
            <w:tcW w:w="717" w:type="dxa"/>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Class</w:t>
            </w:r>
          </w:p>
        </w:tc>
        <w:tc>
          <w:tcPr>
            <w:tcW w:w="3406" w:type="dxa"/>
            <w:gridSpan w:val="2"/>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Efflux Family</w:t>
            </w:r>
          </w:p>
        </w:tc>
        <w:tc>
          <w:tcPr>
            <w:tcW w:w="2966" w:type="dxa"/>
            <w:gridSpan w:val="5"/>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Pseudomonas Aeruginosa</w:t>
            </w:r>
          </w:p>
          <w:p>
            <w:pPr>
              <w:pStyle w:val="Normal"/>
              <w:spacing w:lineRule="auto" w:line="240" w:before="0" w:after="0"/>
              <w:jc w:val="center"/>
              <w:rPr>
                <w:rFonts w:cs="Times New Roman"/>
                <w:b/>
                <w:b/>
                <w:sz w:val="16"/>
                <w:szCs w:val="16"/>
              </w:rPr>
            </w:pPr>
            <w:r>
              <w:rPr>
                <w:rFonts w:cs="Times New Roman"/>
                <w:b/>
                <w:kern w:val="2"/>
                <w:sz w:val="16"/>
                <w:szCs w:val="16"/>
                <w:lang w:eastAsia="zh-TW"/>
              </w:rPr>
              <w:t>(Based on Classification)</w:t>
            </w:r>
          </w:p>
        </w:tc>
        <w:tc>
          <w:tcPr>
            <w:tcW w:w="1811" w:type="dxa"/>
            <w:tcBorders>
              <w:left w:val="nil"/>
              <w:right w:val="nil"/>
              <w:insideV w:val="nil"/>
            </w:tcBorders>
            <w:shd w:fill="auto" w:val="clear"/>
            <w:vAlign w:val="center"/>
          </w:tcPr>
          <w:p>
            <w:pPr>
              <w:pStyle w:val="Normal"/>
              <w:spacing w:lineRule="auto" w:line="240" w:before="0" w:after="0"/>
              <w:jc w:val="center"/>
              <w:rPr>
                <w:rFonts w:cs="Times New Roman"/>
                <w:b/>
                <w:b/>
                <w:sz w:val="16"/>
                <w:szCs w:val="16"/>
              </w:rPr>
            </w:pPr>
            <w:r>
              <w:rPr>
                <w:rFonts w:cs="Times New Roman"/>
                <w:b/>
                <w:kern w:val="2"/>
                <w:sz w:val="16"/>
                <w:szCs w:val="16"/>
                <w:lang w:eastAsia="zh-TW"/>
              </w:rPr>
              <w:t>Identification using Current Method</w:t>
            </w:r>
          </w:p>
        </w:tc>
      </w:tr>
      <w:tr>
        <w:trPr/>
        <w:tc>
          <w:tcPr>
            <w:tcW w:w="566" w:type="dxa"/>
            <w:tcBorders>
              <w:left w:val="nil"/>
              <w:bottom w:val="nil"/>
              <w:right w:val="nil"/>
              <w:insideH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1</w:t>
            </w:r>
          </w:p>
        </w:tc>
        <w:tc>
          <w:tcPr>
            <w:tcW w:w="717" w:type="dxa"/>
            <w:vMerge w:val="restart"/>
            <w:tcBorders>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rPr>
            </w:pPr>
            <w:r>
              <w:rPr>
                <w:rFonts w:cs="Times New Roman"/>
                <w:kern w:val="2"/>
                <w:lang w:eastAsia="zh-TW"/>
              </w:rPr>
              <w:t>A</w:t>
            </w:r>
          </w:p>
        </w:tc>
        <w:tc>
          <w:tcPr>
            <w:tcW w:w="3406" w:type="dxa"/>
            <w:gridSpan w:val="2"/>
            <w:tcBorders>
              <w:left w:val="nil"/>
              <w:bottom w:val="nil"/>
              <w:right w:val="nil"/>
              <w:insideH w:val="nil"/>
              <w:insideV w:val="nil"/>
            </w:tcBorders>
            <w:shd w:color="auto" w:fill="C5E0B3" w:themeFill="accent6" w:themeFillTint="66" w:val="clear"/>
          </w:tcPr>
          <w:p>
            <w:pPr>
              <w:pStyle w:val="Normal"/>
              <w:spacing w:lineRule="auto" w:line="240" w:before="0" w:after="0"/>
              <w:rPr>
                <w:rFonts w:cs="Times New Roman"/>
                <w:sz w:val="16"/>
                <w:szCs w:val="16"/>
              </w:rPr>
            </w:pPr>
            <w:r>
              <w:rPr>
                <w:rFonts w:cs="Times New Roman"/>
                <w:kern w:val="2"/>
                <w:sz w:val="16"/>
                <w:szCs w:val="16"/>
                <w:lang w:eastAsia="zh-TW"/>
              </w:rPr>
              <w:t>The Major Facilitator Superfamily (MFS)</w:t>
            </w:r>
          </w:p>
        </w:tc>
        <w:tc>
          <w:tcPr>
            <w:tcW w:w="1802" w:type="dxa"/>
            <w:gridSpan w:val="2"/>
            <w:tcBorders>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90</w:t>
            </w:r>
          </w:p>
        </w:tc>
        <w:tc>
          <w:tcPr>
            <w:tcW w:w="1163" w:type="dxa"/>
            <w:gridSpan w:val="2"/>
            <w:vMerge w:val="restart"/>
            <w:tcBorders>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99</w:t>
            </w:r>
          </w:p>
        </w:tc>
        <w:tc>
          <w:tcPr>
            <w:tcW w:w="1812" w:type="dxa"/>
            <w:gridSpan w:val="2"/>
            <w:vMerge w:val="restart"/>
            <w:tcBorders>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126</w:t>
            </w:r>
          </w:p>
        </w:tc>
      </w:tr>
      <w:tr>
        <w:trPr/>
        <w:tc>
          <w:tcPr>
            <w:tcW w:w="56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2</w:t>
            </w:r>
          </w:p>
        </w:tc>
        <w:tc>
          <w:tcPr>
            <w:tcW w:w="717" w:type="dxa"/>
            <w:vMerge w:val="continue"/>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kern w:val="2"/>
                <w:lang w:eastAsia="zh-TW"/>
              </w:rPr>
            </w:pPr>
            <w:r>
              <w:rPr>
                <w:rFonts w:cs="Times New Roman"/>
                <w:kern w:val="2"/>
                <w:lang w:eastAsia="zh-TW"/>
              </w:rPr>
            </w:r>
          </w:p>
        </w:tc>
        <w:tc>
          <w:tcPr>
            <w:tcW w:w="3406" w:type="dxa"/>
            <w:gridSpan w:val="2"/>
            <w:tcBorders>
              <w:top w:val="nil"/>
              <w:left w:val="nil"/>
              <w:bottom w:val="nil"/>
              <w:right w:val="nil"/>
              <w:insideH w:val="nil"/>
              <w:insideV w:val="nil"/>
            </w:tcBorders>
            <w:shd w:color="auto" w:fill="C5E0B3" w:themeFill="accent6" w:themeFillTint="66" w:val="clear"/>
          </w:tcPr>
          <w:p>
            <w:pPr>
              <w:pStyle w:val="Normal"/>
              <w:spacing w:lineRule="auto" w:line="240" w:before="0" w:after="0"/>
              <w:rPr>
                <w:rFonts w:cs="Times New Roman"/>
                <w:sz w:val="16"/>
                <w:szCs w:val="16"/>
              </w:rPr>
            </w:pPr>
            <w:r>
              <w:rPr>
                <w:rFonts w:cs="Times New Roman"/>
                <w:kern w:val="2"/>
                <w:sz w:val="16"/>
                <w:szCs w:val="16"/>
                <w:lang w:eastAsia="zh-TW"/>
              </w:rPr>
              <w:t>The small multidrug resistance (SMR) protein family</w:t>
            </w:r>
          </w:p>
        </w:tc>
        <w:tc>
          <w:tcPr>
            <w:tcW w:w="1802" w:type="dxa"/>
            <w:gridSpan w:val="2"/>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7</w:t>
            </w:r>
          </w:p>
        </w:tc>
        <w:tc>
          <w:tcPr>
            <w:tcW w:w="1163" w:type="dxa"/>
            <w:gridSpan w:val="2"/>
            <w:vMerge w:val="continue"/>
            <w:tcBorders>
              <w:top w:val="nil"/>
              <w:left w:val="nil"/>
              <w:bottom w:val="nil"/>
              <w:right w:val="nil"/>
              <w:insideH w:val="nil"/>
              <w:insideV w:val="nil"/>
            </w:tcBorders>
            <w:shd w:color="auto" w:fill="BDD6EE" w:themeFill="accent1" w:themeFillTint="66"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812" w:type="dxa"/>
            <w:gridSpan w:val="2"/>
            <w:vMerge w:val="continue"/>
            <w:tcBorders>
              <w:top w:val="nil"/>
              <w:left w:val="nil"/>
              <w:bottom w:val="nil"/>
              <w:right w:val="nil"/>
              <w:insideH w:val="nil"/>
              <w:insideV w:val="nil"/>
            </w:tcBorders>
            <w:shd w:color="auto" w:fill="BDD6EE" w:themeFill="accent1" w:themeFillTint="66"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r>
      <w:tr>
        <w:trPr/>
        <w:tc>
          <w:tcPr>
            <w:tcW w:w="56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3</w:t>
            </w:r>
          </w:p>
        </w:tc>
        <w:tc>
          <w:tcPr>
            <w:tcW w:w="717" w:type="dxa"/>
            <w:vMerge w:val="continue"/>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kern w:val="2"/>
                <w:lang w:eastAsia="zh-TW"/>
              </w:rPr>
            </w:pPr>
            <w:r>
              <w:rPr>
                <w:rFonts w:cs="Times New Roman"/>
                <w:kern w:val="2"/>
                <w:lang w:eastAsia="zh-TW"/>
              </w:rPr>
            </w:r>
          </w:p>
        </w:tc>
        <w:tc>
          <w:tcPr>
            <w:tcW w:w="3406" w:type="dxa"/>
            <w:gridSpan w:val="2"/>
            <w:tcBorders>
              <w:top w:val="nil"/>
              <w:left w:val="nil"/>
              <w:bottom w:val="nil"/>
              <w:right w:val="nil"/>
              <w:insideH w:val="nil"/>
              <w:insideV w:val="nil"/>
            </w:tcBorders>
            <w:shd w:color="auto" w:fill="C5E0B3" w:themeFill="accent6" w:themeFillTint="66" w:val="clear"/>
          </w:tcPr>
          <w:p>
            <w:pPr>
              <w:pStyle w:val="Normal"/>
              <w:spacing w:lineRule="auto" w:line="240" w:before="0" w:after="0"/>
              <w:rPr>
                <w:rFonts w:cs="Times New Roman"/>
                <w:sz w:val="16"/>
                <w:szCs w:val="16"/>
              </w:rPr>
            </w:pPr>
            <w:r>
              <w:rPr>
                <w:rFonts w:cs="Times New Roman"/>
                <w:kern w:val="2"/>
                <w:sz w:val="16"/>
                <w:szCs w:val="16"/>
                <w:lang w:eastAsia="zh-TW"/>
              </w:rPr>
              <w:t>The Multi Antimicrobial Extrusion (MATE) Family</w:t>
            </w:r>
          </w:p>
        </w:tc>
        <w:tc>
          <w:tcPr>
            <w:tcW w:w="1802" w:type="dxa"/>
            <w:gridSpan w:val="2"/>
            <w:tcBorders>
              <w:top w:val="nil"/>
              <w:left w:val="nil"/>
              <w:bottom w:val="nil"/>
              <w:right w:val="nil"/>
              <w:insideH w:val="nil"/>
              <w:insideV w:val="nil"/>
            </w:tcBorders>
            <w:shd w:color="auto" w:fill="C5E0B3" w:themeFill="accent6"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2</w:t>
            </w:r>
          </w:p>
        </w:tc>
        <w:tc>
          <w:tcPr>
            <w:tcW w:w="1163" w:type="dxa"/>
            <w:gridSpan w:val="2"/>
            <w:vMerge w:val="continue"/>
            <w:tcBorders>
              <w:top w:val="nil"/>
              <w:left w:val="nil"/>
              <w:bottom w:val="nil"/>
              <w:right w:val="nil"/>
              <w:insideH w:val="nil"/>
              <w:insideV w:val="nil"/>
            </w:tcBorders>
            <w:shd w:color="auto" w:fill="BDD6EE" w:themeFill="accent1" w:themeFillTint="66"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812" w:type="dxa"/>
            <w:gridSpan w:val="2"/>
            <w:vMerge w:val="continue"/>
            <w:tcBorders>
              <w:top w:val="nil"/>
              <w:left w:val="nil"/>
              <w:bottom w:val="nil"/>
              <w:right w:val="nil"/>
              <w:insideH w:val="nil"/>
              <w:insideV w:val="nil"/>
            </w:tcBorders>
            <w:shd w:color="auto" w:fill="BDD6EE" w:themeFill="accent1" w:themeFillTint="66"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r>
      <w:tr>
        <w:trPr/>
        <w:tc>
          <w:tcPr>
            <w:tcW w:w="566" w:type="dxa"/>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4</w:t>
            </w:r>
          </w:p>
        </w:tc>
        <w:tc>
          <w:tcPr>
            <w:tcW w:w="717" w:type="dxa"/>
            <w:tcBorders>
              <w:top w:val="nil"/>
              <w:left w:val="nil"/>
              <w:bottom w:val="nil"/>
              <w:right w:val="nil"/>
              <w:insideH w:val="nil"/>
              <w:insideV w:val="nil"/>
            </w:tcBorders>
            <w:shd w:color="auto" w:fill="8EAADB" w:themeFill="accent5" w:themeFillTint="99" w:val="clear"/>
            <w:vAlign w:val="center"/>
          </w:tcPr>
          <w:p>
            <w:pPr>
              <w:pStyle w:val="Normal"/>
              <w:spacing w:lineRule="auto" w:line="240" w:before="0" w:after="0"/>
              <w:jc w:val="center"/>
              <w:rPr>
                <w:rFonts w:cs="Times New Roman"/>
              </w:rPr>
            </w:pPr>
            <w:r>
              <w:rPr>
                <w:rFonts w:cs="Times New Roman"/>
                <w:kern w:val="2"/>
                <w:lang w:eastAsia="zh-TW"/>
              </w:rPr>
              <w:t>B</w:t>
            </w:r>
          </w:p>
        </w:tc>
        <w:tc>
          <w:tcPr>
            <w:tcW w:w="3406" w:type="dxa"/>
            <w:gridSpan w:val="2"/>
            <w:tcBorders>
              <w:top w:val="nil"/>
              <w:left w:val="nil"/>
              <w:bottom w:val="nil"/>
              <w:right w:val="nil"/>
              <w:insideH w:val="nil"/>
              <w:insideV w:val="nil"/>
            </w:tcBorders>
            <w:shd w:color="auto" w:fill="8EAADB" w:themeFill="accent5" w:themeFillTint="99" w:val="clear"/>
          </w:tcPr>
          <w:p>
            <w:pPr>
              <w:pStyle w:val="Normal"/>
              <w:spacing w:lineRule="auto" w:line="240" w:before="0" w:after="0"/>
              <w:rPr>
                <w:rFonts w:cs="Times New Roman"/>
                <w:sz w:val="16"/>
                <w:szCs w:val="16"/>
              </w:rPr>
            </w:pPr>
            <w:r>
              <w:rPr>
                <w:rFonts w:cs="Times New Roman"/>
                <w:kern w:val="2"/>
                <w:sz w:val="16"/>
                <w:szCs w:val="16"/>
                <w:lang w:eastAsia="zh-TW"/>
              </w:rPr>
              <w:t>The Resistance-Nodulation-Cell Division (RND) Superfamily</w:t>
            </w:r>
          </w:p>
        </w:tc>
        <w:tc>
          <w:tcPr>
            <w:tcW w:w="1802" w:type="dxa"/>
            <w:gridSpan w:val="2"/>
            <w:tcBorders>
              <w:top w:val="nil"/>
              <w:left w:val="nil"/>
              <w:bottom w:val="nil"/>
              <w:right w:val="nil"/>
              <w:insideH w:val="nil"/>
              <w:insideV w:val="nil"/>
            </w:tcBorders>
            <w:shd w:color="auto" w:fill="8EAADB" w:themeFill="accent5" w:themeFillTint="99"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31</w:t>
            </w:r>
          </w:p>
        </w:tc>
        <w:tc>
          <w:tcPr>
            <w:tcW w:w="1163" w:type="dxa"/>
            <w:gridSpan w:val="2"/>
            <w:tcBorders>
              <w:top w:val="nil"/>
              <w:left w:val="nil"/>
              <w:bottom w:val="nil"/>
              <w:right w:val="nil"/>
              <w:insideH w:val="nil"/>
              <w:insideV w:val="nil"/>
            </w:tcBorders>
            <w:shd w:color="auto" w:fill="8EAADB" w:themeFill="accent5" w:themeFillTint="99"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31</w:t>
            </w:r>
          </w:p>
        </w:tc>
        <w:tc>
          <w:tcPr>
            <w:tcW w:w="1812" w:type="dxa"/>
            <w:gridSpan w:val="2"/>
            <w:tcBorders>
              <w:top w:val="nil"/>
              <w:left w:val="nil"/>
              <w:bottom w:val="nil"/>
              <w:right w:val="nil"/>
              <w:insideH w:val="nil"/>
              <w:insideV w:val="nil"/>
            </w:tcBorders>
            <w:shd w:color="auto" w:fill="8EAADB" w:themeFill="accent5" w:themeFillTint="99"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38</w:t>
            </w:r>
          </w:p>
        </w:tc>
      </w:tr>
      <w:tr>
        <w:trPr/>
        <w:tc>
          <w:tcPr>
            <w:tcW w:w="566" w:type="dxa"/>
            <w:tcBorders>
              <w:top w:val="nil"/>
              <w:left w:val="nil"/>
              <w:right w:val="nil"/>
              <w:insideV w:val="nil"/>
            </w:tcBorders>
            <w:shd w:fill="auto" w:val="clear"/>
            <w:vAlign w:val="center"/>
          </w:tcPr>
          <w:p>
            <w:pPr>
              <w:pStyle w:val="Normal"/>
              <w:spacing w:lineRule="auto" w:line="240" w:before="0" w:after="0"/>
              <w:jc w:val="center"/>
              <w:rPr>
                <w:rFonts w:cs="Times New Roman"/>
              </w:rPr>
            </w:pPr>
            <w:r>
              <w:rPr>
                <w:rFonts w:cs="Times New Roman"/>
                <w:kern w:val="2"/>
                <w:lang w:eastAsia="zh-TW"/>
              </w:rPr>
              <w:t>5</w:t>
            </w:r>
          </w:p>
        </w:tc>
        <w:tc>
          <w:tcPr>
            <w:tcW w:w="717" w:type="dxa"/>
            <w:tcBorders>
              <w:top w:val="nil"/>
              <w:left w:val="nil"/>
              <w:right w:val="nil"/>
              <w:insideV w:val="nil"/>
            </w:tcBorders>
            <w:shd w:color="auto" w:fill="FFE599" w:themeFill="accent4" w:themeFillTint="66" w:val="clear"/>
            <w:vAlign w:val="center"/>
          </w:tcPr>
          <w:p>
            <w:pPr>
              <w:pStyle w:val="Normal"/>
              <w:spacing w:lineRule="auto" w:line="240" w:before="0" w:after="0"/>
              <w:jc w:val="center"/>
              <w:rPr>
                <w:rFonts w:cs="Times New Roman"/>
              </w:rPr>
            </w:pPr>
            <w:r>
              <w:rPr>
                <w:rFonts w:cs="Times New Roman"/>
                <w:kern w:val="2"/>
                <w:lang w:eastAsia="zh-TW"/>
              </w:rPr>
              <w:t>C</w:t>
            </w:r>
          </w:p>
        </w:tc>
        <w:tc>
          <w:tcPr>
            <w:tcW w:w="3406" w:type="dxa"/>
            <w:gridSpan w:val="2"/>
            <w:tcBorders>
              <w:top w:val="nil"/>
              <w:left w:val="nil"/>
              <w:right w:val="nil"/>
              <w:insideV w:val="nil"/>
            </w:tcBorders>
            <w:shd w:color="auto" w:fill="FFE599" w:themeFill="accent4" w:themeFillTint="66" w:val="clear"/>
          </w:tcPr>
          <w:p>
            <w:pPr>
              <w:pStyle w:val="Normal"/>
              <w:spacing w:lineRule="auto" w:line="240" w:before="0" w:after="0"/>
              <w:rPr>
                <w:rFonts w:cs="Times New Roman"/>
                <w:sz w:val="16"/>
                <w:szCs w:val="16"/>
              </w:rPr>
            </w:pPr>
            <w:r>
              <w:rPr>
                <w:rFonts w:cs="Times New Roman"/>
                <w:kern w:val="2"/>
                <w:sz w:val="16"/>
                <w:szCs w:val="16"/>
                <w:lang w:eastAsia="zh-TW"/>
              </w:rPr>
              <w:t>The ATP-binding Cassette (ABC) Superfamily</w:t>
            </w:r>
          </w:p>
        </w:tc>
        <w:tc>
          <w:tcPr>
            <w:tcW w:w="1802" w:type="dxa"/>
            <w:gridSpan w:val="2"/>
            <w:tcBorders>
              <w:top w:val="nil"/>
              <w:left w:val="nil"/>
              <w:right w:val="nil"/>
              <w:insideV w:val="nil"/>
            </w:tcBorders>
            <w:shd w:color="auto" w:fill="FFE599" w:themeFill="accent4"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70</w:t>
            </w:r>
          </w:p>
        </w:tc>
        <w:tc>
          <w:tcPr>
            <w:tcW w:w="1163" w:type="dxa"/>
            <w:gridSpan w:val="2"/>
            <w:tcBorders>
              <w:top w:val="nil"/>
              <w:left w:val="nil"/>
              <w:right w:val="nil"/>
              <w:insideV w:val="nil"/>
            </w:tcBorders>
            <w:shd w:color="auto" w:fill="FFE599" w:themeFill="accent4"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70</w:t>
            </w:r>
          </w:p>
        </w:tc>
        <w:tc>
          <w:tcPr>
            <w:tcW w:w="1812" w:type="dxa"/>
            <w:gridSpan w:val="2"/>
            <w:tcBorders>
              <w:top w:val="nil"/>
              <w:left w:val="nil"/>
              <w:right w:val="nil"/>
              <w:insideV w:val="nil"/>
            </w:tcBorders>
            <w:shd w:color="auto" w:fill="FFE599" w:themeFill="accent4" w:themeFillTint="66"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226</w:t>
            </w:r>
          </w:p>
        </w:tc>
      </w:tr>
      <w:tr>
        <w:trPr/>
        <w:tc>
          <w:tcPr>
            <w:tcW w:w="4688" w:type="dxa"/>
            <w:gridSpan w:val="3"/>
            <w:tcBorders>
              <w:left w:val="nil"/>
              <w:bottom w:val="nil"/>
              <w:right w:val="nil"/>
              <w:insideH w:val="nil"/>
              <w:insideV w:val="nil"/>
            </w:tcBorders>
            <w:shd w:fill="auto" w:val="clear"/>
            <w:vAlign w:val="center"/>
          </w:tcPr>
          <w:p>
            <w:pPr>
              <w:pStyle w:val="Normal"/>
              <w:spacing w:lineRule="auto" w:line="240" w:before="0" w:after="0"/>
              <w:rPr>
                <w:rFonts w:cs="Times New Roman"/>
              </w:rPr>
            </w:pPr>
            <w:r>
              <w:rPr>
                <w:rFonts w:cs="Times New Roman"/>
                <w:kern w:val="2"/>
                <w:lang w:eastAsia="zh-TW"/>
              </w:rPr>
              <w:t>Total</w:t>
            </w:r>
          </w:p>
        </w:tc>
        <w:tc>
          <w:tcPr>
            <w:tcW w:w="1802" w:type="dxa"/>
            <w:gridSpan w:val="2"/>
            <w:tcBorders>
              <w:left w:val="nil"/>
              <w:bottom w:val="nil"/>
              <w:right w:val="nil"/>
              <w:insideH w:val="nil"/>
              <w:insideV w:val="nil"/>
            </w:tcBorders>
            <w:shd w:fill="auto"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200</w:t>
            </w:r>
          </w:p>
        </w:tc>
        <w:tc>
          <w:tcPr>
            <w:tcW w:w="1163" w:type="dxa"/>
            <w:gridSpan w:val="2"/>
            <w:vMerge w:val="restart"/>
            <w:tcBorders>
              <w:left w:val="nil"/>
              <w:bottom w:val="nil"/>
              <w:right w:val="nil"/>
              <w:insideH w:val="nil"/>
              <w:insideV w:val="nil"/>
            </w:tcBorders>
            <w:shd w:fill="auto"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813" w:type="dxa"/>
            <w:gridSpan w:val="3"/>
            <w:tcBorders>
              <w:left w:val="nil"/>
              <w:bottom w:val="nil"/>
              <w:right w:val="nil"/>
              <w:insideH w:val="nil"/>
              <w:insideV w:val="nil"/>
            </w:tcBorders>
            <w:shd w:fill="auto"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390</w:t>
            </w:r>
          </w:p>
        </w:tc>
      </w:tr>
      <w:tr>
        <w:trPr/>
        <w:tc>
          <w:tcPr>
            <w:tcW w:w="4688" w:type="dxa"/>
            <w:gridSpan w:val="3"/>
            <w:tcBorders>
              <w:top w:val="nil"/>
              <w:left w:val="nil"/>
              <w:bottom w:val="nil"/>
              <w:right w:val="nil"/>
              <w:insideH w:val="nil"/>
              <w:insideV w:val="nil"/>
            </w:tcBorders>
            <w:shd w:fill="auto" w:val="clear"/>
            <w:vAlign w:val="center"/>
          </w:tcPr>
          <w:p>
            <w:pPr>
              <w:pStyle w:val="Normal"/>
              <w:spacing w:lineRule="auto" w:line="240" w:before="0" w:after="0"/>
              <w:rPr>
                <w:rFonts w:cs="Times New Roman"/>
              </w:rPr>
            </w:pPr>
            <w:r>
              <w:rPr>
                <w:rFonts w:cs="Times New Roman"/>
                <w:kern w:val="2"/>
                <w:lang w:eastAsia="zh-TW"/>
              </w:rPr>
              <w:t>All Proteins from Uniprot [P. aeruginosa]</w:t>
            </w:r>
          </w:p>
        </w:tc>
        <w:tc>
          <w:tcPr>
            <w:tcW w:w="1802" w:type="dxa"/>
            <w:gridSpan w:val="2"/>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sz w:val="16"/>
                <w:szCs w:val="16"/>
              </w:rPr>
            </w:pPr>
            <w:r>
              <w:rPr>
                <w:rStyle w:val="Strong"/>
                <w:rFonts w:cs="Times New Roman"/>
                <w:color w:val="222222"/>
                <w:kern w:val="2"/>
                <w:sz w:val="16"/>
                <w:szCs w:val="16"/>
                <w:lang w:eastAsia="zh-TW"/>
              </w:rPr>
              <w:t>5638</w:t>
            </w:r>
          </w:p>
        </w:tc>
        <w:tc>
          <w:tcPr>
            <w:tcW w:w="1163" w:type="dxa"/>
            <w:gridSpan w:val="2"/>
            <w:vMerge w:val="continue"/>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813" w:type="dxa"/>
            <w:gridSpan w:val="3"/>
            <w:tcBorders>
              <w:top w:val="nil"/>
              <w:left w:val="nil"/>
              <w:bottom w:val="nil"/>
              <w:right w:val="nil"/>
              <w:insideH w:val="nil"/>
              <w:insideV w:val="nil"/>
            </w:tcBorders>
            <w:shd w:fill="auto" w:val="clear"/>
            <w:vAlign w:val="center"/>
          </w:tcPr>
          <w:p>
            <w:pPr>
              <w:pStyle w:val="Normal"/>
              <w:spacing w:lineRule="auto" w:line="240" w:before="0" w:after="0"/>
              <w:jc w:val="center"/>
              <w:rPr>
                <w:rFonts w:cs="Times New Roman"/>
                <w:sz w:val="16"/>
                <w:szCs w:val="16"/>
              </w:rPr>
            </w:pPr>
            <w:r>
              <w:rPr>
                <w:rStyle w:val="Strong"/>
                <w:rFonts w:cs="Times New Roman"/>
                <w:color w:val="222222"/>
                <w:kern w:val="2"/>
                <w:sz w:val="16"/>
                <w:szCs w:val="16"/>
                <w:lang w:eastAsia="zh-TW"/>
              </w:rPr>
              <w:t>5638</w:t>
            </w:r>
          </w:p>
        </w:tc>
      </w:tr>
      <w:tr>
        <w:trPr/>
        <w:tc>
          <w:tcPr>
            <w:tcW w:w="4688" w:type="dxa"/>
            <w:gridSpan w:val="3"/>
            <w:tcBorders>
              <w:top w:val="nil"/>
              <w:left w:val="nil"/>
              <w:right w:val="nil"/>
              <w:insideV w:val="nil"/>
            </w:tcBorders>
            <w:shd w:fill="auto" w:val="clear"/>
            <w:vAlign w:val="center"/>
          </w:tcPr>
          <w:p>
            <w:pPr>
              <w:pStyle w:val="Normal"/>
              <w:spacing w:lineRule="auto" w:line="240" w:before="0" w:after="0"/>
              <w:rPr>
                <w:rFonts w:cs="Times New Roman"/>
              </w:rPr>
            </w:pPr>
            <w:r>
              <w:rPr>
                <w:rFonts w:cs="Times New Roman"/>
                <w:kern w:val="2"/>
                <w:lang w:eastAsia="zh-TW"/>
              </w:rPr>
              <w:t>Percentage</w:t>
            </w:r>
          </w:p>
        </w:tc>
        <w:tc>
          <w:tcPr>
            <w:tcW w:w="1802" w:type="dxa"/>
            <w:gridSpan w:val="2"/>
            <w:tcBorders>
              <w:top w:val="nil"/>
              <w:left w:val="nil"/>
              <w:right w:val="nil"/>
              <w:insideV w:val="nil"/>
            </w:tcBorders>
            <w:shd w:fill="auto"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3.54%</w:t>
            </w:r>
          </w:p>
        </w:tc>
        <w:tc>
          <w:tcPr>
            <w:tcW w:w="1163" w:type="dxa"/>
            <w:gridSpan w:val="2"/>
            <w:vMerge w:val="continue"/>
            <w:tcBorders>
              <w:top w:val="nil"/>
              <w:left w:val="nil"/>
              <w:right w:val="nil"/>
              <w:insideV w:val="nil"/>
            </w:tcBorders>
            <w:shd w:fill="auto" w:val="clear"/>
            <w:vAlign w:val="center"/>
          </w:tcPr>
          <w:p>
            <w:pPr>
              <w:pStyle w:val="Normal"/>
              <w:spacing w:lineRule="auto" w:line="240" w:before="0" w:after="0"/>
              <w:jc w:val="center"/>
              <w:rPr>
                <w:rFonts w:cs="Times New Roman"/>
                <w:kern w:val="2"/>
                <w:sz w:val="16"/>
                <w:szCs w:val="16"/>
                <w:lang w:eastAsia="zh-TW"/>
              </w:rPr>
            </w:pPr>
            <w:r>
              <w:rPr>
                <w:rFonts w:cs="Times New Roman"/>
                <w:kern w:val="2"/>
                <w:sz w:val="16"/>
                <w:szCs w:val="16"/>
                <w:lang w:eastAsia="zh-TW"/>
              </w:rPr>
            </w:r>
          </w:p>
        </w:tc>
        <w:tc>
          <w:tcPr>
            <w:tcW w:w="1813" w:type="dxa"/>
            <w:gridSpan w:val="3"/>
            <w:tcBorders>
              <w:top w:val="nil"/>
              <w:left w:val="nil"/>
              <w:right w:val="nil"/>
              <w:insideV w:val="nil"/>
            </w:tcBorders>
            <w:shd w:fill="auto" w:val="clear"/>
            <w:vAlign w:val="center"/>
          </w:tcPr>
          <w:p>
            <w:pPr>
              <w:pStyle w:val="Normal"/>
              <w:spacing w:lineRule="auto" w:line="240" w:before="0" w:after="0"/>
              <w:jc w:val="center"/>
              <w:rPr>
                <w:rFonts w:cs="Times New Roman"/>
                <w:sz w:val="16"/>
                <w:szCs w:val="16"/>
              </w:rPr>
            </w:pPr>
            <w:r>
              <w:rPr>
                <w:rFonts w:cs="Times New Roman"/>
                <w:kern w:val="2"/>
                <w:sz w:val="16"/>
                <w:szCs w:val="16"/>
                <w:lang w:eastAsia="zh-TW"/>
              </w:rPr>
              <w:t>6.92%</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Heading1"/>
        <w:rPr>
          <w:lang w:eastAsia="zh-TW"/>
        </w:rPr>
      </w:pPr>
      <w:bookmarkStart w:id="129" w:name="__RefHeading___Toc27402_277794404"/>
      <w:bookmarkStart w:id="130" w:name="_Toc455040220"/>
      <w:bookmarkEnd w:id="129"/>
      <w:r>
        <w:rPr>
          <w:lang w:eastAsia="zh-TW"/>
        </w:rPr>
        <w:t>Chapter 5</w:t>
        <w:br/>
        <w:t>Conclusion and Future Works</w:t>
      </w:r>
      <w:bookmarkEnd w:id="130"/>
    </w:p>
    <w:p>
      <w:pPr>
        <w:pStyle w:val="Normal"/>
        <w:spacing w:lineRule="auto" w:line="360"/>
        <w:jc w:val="center"/>
        <w:rPr>
          <w:rFonts w:cs="Times New Roman"/>
          <w:szCs w:val="24"/>
        </w:rPr>
      </w:pPr>
      <w:r>
        <w:rPr>
          <w:rFonts w:cs="Times New Roman"/>
          <w:szCs w:val="24"/>
        </w:rPr>
      </w:r>
    </w:p>
    <w:p>
      <w:pPr>
        <w:pStyle w:val="Normal"/>
        <w:spacing w:lineRule="auto" w:line="360"/>
        <w:jc w:val="center"/>
        <w:rPr>
          <w:rFonts w:cs="Times New Roman"/>
          <w:szCs w:val="24"/>
        </w:rPr>
      </w:pPr>
      <w:r>
        <w:rPr>
          <w:rFonts w:cs="Times New Roman"/>
          <w:szCs w:val="24"/>
        </w:rPr>
      </w:r>
    </w:p>
    <w:p>
      <w:pPr>
        <w:pStyle w:val="Normal"/>
        <w:spacing w:lineRule="auto" w:line="360"/>
        <w:ind w:firstLine="720"/>
        <w:rPr>
          <w:rFonts w:cs="Times New Roman"/>
          <w:szCs w:val="24"/>
        </w:rPr>
      </w:pPr>
      <w:r>
        <w:rPr>
          <w:rFonts w:cs="Times New Roman"/>
          <w:szCs w:val="24"/>
        </w:rPr>
        <w:t xml:space="preserve">Maintain the viability of the cell is an important part of life because to understand life we must understand the smallest unit of life that is cells. In general, the insulating layer between the external environment and the cytoplasm is the cell membrane. The cell membrane plays an important role to protect inside of the cell (cytoplasm). Efflux proteins are membrane transporters function to pump unwanted substances out of the cell. In performing their functions, energy requirement is a major focus in carrying out activities that are important for pumping toxic compounds. Different energy sources and the difference in amino acid structure becomes an important thing in this study. </w:t>
      </w:r>
    </w:p>
    <w:p>
      <w:pPr>
        <w:pStyle w:val="Normal"/>
        <w:spacing w:lineRule="auto" w:line="360"/>
        <w:ind w:firstLine="720"/>
        <w:rPr>
          <w:rFonts w:cs="Times New Roman"/>
          <w:szCs w:val="24"/>
        </w:rPr>
      </w:pPr>
      <w:r>
        <w:rPr>
          <w:rFonts w:cs="Times New Roman"/>
          <w:szCs w:val="24"/>
        </w:rPr>
        <w:t>Based on the structure and sources of energy, there are two active transports were identified as primary and Secondary active transporters and classified as follows: (1) efflux proteins families across the inner membrane and powered by secondary active transporters and (2) efflux protein family across IEPs, PEPs and OEPs and powered by secondary active transporters and (3) efflux protein family requires and powered by primary active transporters. We systematically analyze the effect of various features such as the amino acid composition, DPC, PSSM profiles, PSSM+AAindex and some additional analysis and prediction results to distinguish efflux protein based on the classification above. Finally, we have developed three different methods using radial basis function networks to classify and identify efflux protein families based on amino acid sequence and the energy source.</w:t>
      </w:r>
    </w:p>
    <w:p>
      <w:pPr>
        <w:pStyle w:val="Normal"/>
        <w:spacing w:lineRule="auto" w:line="360"/>
        <w:ind w:firstLine="720"/>
        <w:rPr>
          <w:rFonts w:cs="Times New Roman"/>
          <w:szCs w:val="24"/>
        </w:rPr>
      </w:pPr>
      <w:r>
        <w:rPr>
          <w:rFonts w:cs="Times New Roman"/>
          <w:szCs w:val="24"/>
          <w:lang w:eastAsia="zh-TW"/>
        </w:rPr>
        <w:t xml:space="preserve">We used independent dataset during the training process and evaluate the result of the proposed method; </w:t>
      </w:r>
      <w:r>
        <w:rPr>
          <w:rFonts w:cs="Times New Roman"/>
          <w:color w:val="000000" w:themeColor="text1"/>
          <w:szCs w:val="24"/>
          <w:lang w:eastAsia="zh-TW"/>
        </w:rPr>
        <w:t>we achieved an accuracy of 95.5% for Class 1, 86.9% for Class 2 and 89.2% for Class 3. The result showed that the MMC yielded an average of 0.89 for Class 1, 0.42 for Class 2 and 0.77 for Class 3 using independent dataset tests. We also evaluated the performance of true positive rate (sensitivity) and true negative rate (specificity) yielded an average of 90.0% and 97.6% for Class 1, 80.0% and 87.3% for Class 2 and 94.8% and 78.3 for Class 3 using independent dataset tests.</w:t>
      </w:r>
    </w:p>
    <w:p>
      <w:pPr>
        <w:pStyle w:val="Normal"/>
        <w:spacing w:lineRule="auto" w:line="360"/>
        <w:ind w:firstLine="720"/>
        <w:rPr>
          <w:rFonts w:cs="Times New Roman"/>
          <w:szCs w:val="24"/>
        </w:rPr>
      </w:pPr>
      <w:r>
        <w:rPr>
          <w:rFonts w:cs="Times New Roman"/>
          <w:szCs w:val="24"/>
        </w:rPr>
        <w:t>More understanding and currently information about efflux proteins is very important to learn. In this opportunity, researcher wants to direct future work on a deeper understanding of the efflux protein families. Future work will be directed to identify any pumps on each family of efflux proteins based on the structure and its importance in every organism. Next, identify the differences in the structure of proteins in the RND superfamily, MFS and ABC superfamily.</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Heading1"/>
        <w:rPr/>
      </w:pPr>
      <w:bookmarkStart w:id="131" w:name="__RefHeading___Toc27404_277794404"/>
      <w:bookmarkStart w:id="132" w:name="_Toc455040221"/>
      <w:bookmarkEnd w:id="131"/>
      <w:r>
        <w:rPr/>
        <w:t>References</w:t>
      </w:r>
      <w:bookmarkEnd w:id="132"/>
    </w:p>
    <w:p>
      <w:pPr>
        <w:pStyle w:val="Normal"/>
        <w:spacing w:lineRule="auto" w:line="360"/>
        <w:rPr>
          <w:rFonts w:cs="Times New Roman"/>
          <w:szCs w:val="24"/>
        </w:rPr>
      </w:pPr>
      <w:r>
        <w:rPr>
          <w:rFonts w:cs="Times New Roman"/>
          <w:szCs w:val="24"/>
        </w:rPr>
      </w:r>
    </w:p>
    <w:p>
      <w:pPr>
        <w:pStyle w:val="EndNoteBibliography"/>
        <w:spacing w:before="0" w:after="0"/>
        <w:ind w:left="720" w:hanging="720"/>
        <w:rPr/>
      </w:pPr>
      <w:r>
        <w:rPr>
          <w:rFonts w:cs="Times New Roman" w:ascii="Times New Roman" w:hAnsi="Times New Roman"/>
          <w:szCs w:val="24"/>
        </w:rPr>
        <w:t xml:space="preserve"> </w:t>
      </w:r>
      <w:r>
        <w:fldChar w:fldCharType="begin"/>
      </w:r>
      <w:r>
        <w:rPr>
          <w:szCs w:val="24"/>
          <w:rFonts w:cs="Times New Roman" w:ascii="Times New Roman" w:hAnsi="Times New Roman"/>
        </w:rPr>
        <w:instrText>ADDIN EN.REFLIST</w:instrText>
      </w:r>
      <w:r>
        <w:rPr>
          <w:szCs w:val="24"/>
          <w:rFonts w:cs="Times New Roman" w:ascii="Times New Roman" w:hAnsi="Times New Roman"/>
        </w:rPr>
        <w:fldChar w:fldCharType="separate"/>
      </w:r>
      <w:bookmarkStart w:id="133" w:name="__Fieldmark__25735_277794404"/>
      <w:r>
        <w:rPr>
          <w:rFonts w:cs="Times New Roman" w:ascii="Times New Roman" w:hAnsi="Times New Roman"/>
          <w:szCs w:val="24"/>
        </w:rPr>
        <w:t>1</w:t>
      </w:r>
      <w:bookmarkStart w:id="134" w:name="_ENREF_1"/>
      <w:r>
        <w:rPr>
          <w:rFonts w:cs="Times New Roman" w:ascii="Times New Roman" w:hAnsi="Times New Roman"/>
          <w:szCs w:val="24"/>
        </w:rPr>
        <w:t>.</w:t>
        <w:tab/>
        <w:t xml:space="preserve">Enger, D.E., C.F. Ross, and B.D. Bailey, </w:t>
      </w:r>
      <w:r>
        <w:rPr>
          <w:rFonts w:cs="Times New Roman" w:ascii="Times New Roman" w:hAnsi="Times New Roman"/>
          <w:i/>
          <w:szCs w:val="24"/>
        </w:rPr>
        <w:t>Concepts in Biology, 11th edition.</w:t>
      </w:r>
      <w:r>
        <w:rPr/>
        <w:t xml:space="preserve"> New York: McGraw-Hill, 2005: p. 66.</w:t>
      </w:r>
      <w:r>
        <w:rPr/>
      </w:r>
      <w:r>
        <w:rPr/>
        <w:fldChar w:fldCharType="end"/>
      </w:r>
      <w:bookmarkEnd w:id="133"/>
      <w:bookmarkEnd w:id="134"/>
    </w:p>
    <w:p>
      <w:pPr>
        <w:pStyle w:val="EndNoteBibliography"/>
        <w:spacing w:before="0" w:after="0"/>
        <w:ind w:left="720" w:hanging="720"/>
        <w:rPr/>
      </w:pPr>
      <w:bookmarkStart w:id="135" w:name="_ENREF_2"/>
      <w:r>
        <w:rPr/>
        <w:t>2.</w:t>
        <w:tab/>
        <w:t xml:space="preserve">Campbell, N.A., Reece, J. B., Simon, E. J., </w:t>
      </w:r>
      <w:r>
        <w:rPr>
          <w:i/>
        </w:rPr>
        <w:t>Essential Biology 3th edition.</w:t>
      </w:r>
      <w:r>
        <w:rPr/>
        <w:t xml:space="preserve"> San Francisco: Pearson Benjamin Cummings, 2007: p. 60.</w:t>
      </w:r>
      <w:bookmarkEnd w:id="135"/>
    </w:p>
    <w:p>
      <w:pPr>
        <w:pStyle w:val="EndNoteBibliography"/>
        <w:spacing w:before="0" w:after="0"/>
        <w:ind w:left="720" w:hanging="720"/>
        <w:rPr/>
      </w:pPr>
      <w:bookmarkStart w:id="136" w:name="_ENREF_3"/>
      <w:r>
        <w:rPr/>
        <w:t>3.</w:t>
        <w:tab/>
        <w:t xml:space="preserve">Lodish H, B.A., Zipursky SL, et al., </w:t>
      </w:r>
      <w:r>
        <w:rPr>
          <w:i/>
        </w:rPr>
        <w:t>Molecular Cell Biology. 4th edition.</w:t>
      </w:r>
      <w:r>
        <w:rPr/>
        <w:t xml:space="preserve"> New York: W. H. Freeman, 2000.</w:t>
      </w:r>
      <w:bookmarkEnd w:id="136"/>
    </w:p>
    <w:p>
      <w:pPr>
        <w:pStyle w:val="EndNoteBibliography"/>
        <w:spacing w:before="0" w:after="0"/>
        <w:ind w:left="720" w:hanging="720"/>
        <w:rPr/>
      </w:pPr>
      <w:bookmarkStart w:id="137" w:name="_ENREF_4"/>
      <w:r>
        <w:rPr/>
        <w:t>4.</w:t>
        <w:tab/>
        <w:t xml:space="preserve">Santoni, V., M. Molloy, and T. Rabilloud, </w:t>
      </w:r>
      <w:r>
        <w:rPr>
          <w:i/>
        </w:rPr>
        <w:t>Membrane proteins and proteomics: un amour impossible?</w:t>
      </w:r>
      <w:r>
        <w:rPr/>
        <w:t xml:space="preserve"> Electrophoresis, 2000. </w:t>
      </w:r>
      <w:r>
        <w:rPr>
          <w:b/>
        </w:rPr>
        <w:t>21</w:t>
      </w:r>
      <w:r>
        <w:rPr/>
        <w:t>(6): p. 1054-1070.</w:t>
      </w:r>
      <w:bookmarkEnd w:id="137"/>
    </w:p>
    <w:p>
      <w:pPr>
        <w:pStyle w:val="EndNoteBibliography"/>
        <w:spacing w:before="0" w:after="0"/>
        <w:ind w:left="720" w:hanging="720"/>
        <w:rPr/>
      </w:pPr>
      <w:bookmarkStart w:id="138" w:name="_ENREF_5"/>
      <w:r>
        <w:rPr/>
        <w:t>5.</w:t>
        <w:tab/>
        <w:t xml:space="preserve">SIPOS, L. and G. HEIJNE, </w:t>
      </w:r>
      <w:r>
        <w:rPr>
          <w:i/>
        </w:rPr>
        <w:t>Predicting the topology of eukaryotic membrane proteins.</w:t>
      </w:r>
      <w:r>
        <w:rPr/>
        <w:t xml:space="preserve"> European Journal of Biochemistry, 1993. </w:t>
      </w:r>
      <w:r>
        <w:rPr>
          <w:b/>
        </w:rPr>
        <w:t>213</w:t>
      </w:r>
      <w:r>
        <w:rPr/>
        <w:t>(3): p. 1333-1340.</w:t>
      </w:r>
      <w:bookmarkEnd w:id="138"/>
    </w:p>
    <w:p>
      <w:pPr>
        <w:pStyle w:val="EndNoteBibliography"/>
        <w:spacing w:before="0" w:after="0"/>
        <w:ind w:left="720" w:hanging="720"/>
        <w:rPr/>
      </w:pPr>
      <w:bookmarkStart w:id="139" w:name="_ENREF_6"/>
      <w:r>
        <w:rPr/>
        <w:t>6.</w:t>
        <w:tab/>
        <w:t xml:space="preserve">Hayat, M. and A. Khan, </w:t>
      </w:r>
      <w:r>
        <w:rPr>
          <w:i/>
        </w:rPr>
        <w:t>Prediction of membrane protein types by using dipeptide and pseudo amino acid composition-based composite features.</w:t>
      </w:r>
      <w:r>
        <w:rPr/>
        <w:t xml:space="preserve"> Communications, IET, 2012. </w:t>
      </w:r>
      <w:r>
        <w:rPr>
          <w:b/>
        </w:rPr>
        <w:t>6</w:t>
      </w:r>
      <w:r>
        <w:rPr/>
        <w:t>(18): p. 3257-3264.</w:t>
      </w:r>
      <w:bookmarkEnd w:id="139"/>
    </w:p>
    <w:p>
      <w:pPr>
        <w:pStyle w:val="EndNoteBibliography"/>
        <w:spacing w:before="0" w:after="0"/>
        <w:ind w:left="720" w:hanging="720"/>
        <w:rPr/>
      </w:pPr>
      <w:bookmarkStart w:id="140" w:name="_ENREF_7"/>
      <w:r>
        <w:rPr/>
        <w:t>7.</w:t>
        <w:tab/>
        <w:t xml:space="preserve">Bose, S.K., et al. </w:t>
      </w:r>
      <w:r>
        <w:rPr>
          <w:i/>
        </w:rPr>
        <w:t>Presenting a novel neural network architecture for membrane protein prediction</w:t>
      </w:r>
      <w:r>
        <w:rPr/>
        <w:t xml:space="preserve">. in </w:t>
      </w:r>
      <w:r>
        <w:rPr>
          <w:i/>
        </w:rPr>
        <w:t>Intelligent Engineering Systems, 2006. INES'06. Proceedings. International Conference on</w:t>
      </w:r>
      <w:r>
        <w:rPr/>
        <w:t>. 2006. IEEE.</w:t>
      </w:r>
      <w:bookmarkEnd w:id="140"/>
    </w:p>
    <w:p>
      <w:pPr>
        <w:pStyle w:val="EndNoteBibliography"/>
        <w:spacing w:before="0" w:after="0"/>
        <w:ind w:left="720" w:hanging="720"/>
        <w:rPr/>
      </w:pPr>
      <w:bookmarkStart w:id="141" w:name="_ENREF_8"/>
      <w:r>
        <w:rPr/>
        <w:t>8.</w:t>
        <w:tab/>
        <w:t xml:space="preserve">Ou, Y.y., S.a. Chen, and M.M. Gromiha, </w:t>
      </w:r>
      <w:r>
        <w:rPr>
          <w:i/>
        </w:rPr>
        <w:t>Prediction of membrane spanning segments and topology in β‐barrel membrane proteins at better accuracy.</w:t>
      </w:r>
      <w:r>
        <w:rPr/>
        <w:t xml:space="preserve"> Journal of computational chemistry, 2010. </w:t>
      </w:r>
      <w:r>
        <w:rPr>
          <w:b/>
        </w:rPr>
        <w:t>31</w:t>
      </w:r>
      <w:r>
        <w:rPr/>
        <w:t>(1): p. 217-223.</w:t>
      </w:r>
      <w:bookmarkEnd w:id="141"/>
    </w:p>
    <w:p>
      <w:pPr>
        <w:pStyle w:val="EndNoteBibliography"/>
        <w:spacing w:before="0" w:after="0"/>
        <w:ind w:left="720" w:hanging="720"/>
        <w:rPr/>
      </w:pPr>
      <w:bookmarkStart w:id="142" w:name="_ENREF_9"/>
      <w:r>
        <w:rPr/>
        <w:t>9.</w:t>
        <w:tab/>
        <w:t xml:space="preserve">Chou, K.-C. and D.W. Elrod, </w:t>
      </w:r>
      <w:r>
        <w:rPr>
          <w:i/>
        </w:rPr>
        <w:t>Protein subcellular location prediction.</w:t>
      </w:r>
      <w:r>
        <w:rPr/>
        <w:t xml:space="preserve"> Protein engineering, 1999. </w:t>
      </w:r>
      <w:r>
        <w:rPr>
          <w:b/>
        </w:rPr>
        <w:t>12</w:t>
      </w:r>
      <w:r>
        <w:rPr/>
        <w:t>(2): p. 107-118.</w:t>
      </w:r>
      <w:bookmarkEnd w:id="142"/>
    </w:p>
    <w:p>
      <w:pPr>
        <w:pStyle w:val="EndNoteBibliography"/>
        <w:spacing w:before="0" w:after="0"/>
        <w:ind w:left="720" w:hanging="720"/>
        <w:rPr/>
      </w:pPr>
      <w:bookmarkStart w:id="143" w:name="_ENREF_10"/>
      <w:r>
        <w:rPr/>
        <w:t>10.</w:t>
        <w:tab/>
        <w:t xml:space="preserve">Emanuelsson, O., et al., </w:t>
      </w:r>
      <w:r>
        <w:rPr>
          <w:i/>
        </w:rPr>
        <w:t>Predicting subcellular localization of proteins based on their N-terminal amino acid sequence.</w:t>
      </w:r>
      <w:r>
        <w:rPr/>
        <w:t xml:space="preserve"> Journal of molecular biology, 2000. </w:t>
      </w:r>
      <w:r>
        <w:rPr>
          <w:b/>
        </w:rPr>
        <w:t>300</w:t>
      </w:r>
      <w:r>
        <w:rPr/>
        <w:t>(4): p. 1005-1016.</w:t>
      </w:r>
      <w:bookmarkEnd w:id="143"/>
    </w:p>
    <w:p>
      <w:pPr>
        <w:pStyle w:val="EndNoteBibliography"/>
        <w:spacing w:before="0" w:after="0"/>
        <w:ind w:left="720" w:hanging="720"/>
        <w:rPr/>
      </w:pPr>
      <w:bookmarkStart w:id="144" w:name="_ENREF_11"/>
      <w:r>
        <w:rPr/>
        <w:t>11.</w:t>
        <w:tab/>
        <w:t xml:space="preserve">Park, K.-J. and M. Kanehisa, </w:t>
      </w:r>
      <w:r>
        <w:rPr>
          <w:i/>
        </w:rPr>
        <w:t>Prediction of protein subcellular locations by support vector machines using compositions of amino acids and amino acid pairs.</w:t>
      </w:r>
      <w:r>
        <w:rPr/>
        <w:t xml:space="preserve"> Bioinformatics, 2003. </w:t>
      </w:r>
      <w:r>
        <w:rPr>
          <w:b/>
        </w:rPr>
        <w:t>19</w:t>
      </w:r>
      <w:r>
        <w:rPr/>
        <w:t>(13): p. 1656-1663.</w:t>
      </w:r>
      <w:bookmarkEnd w:id="144"/>
    </w:p>
    <w:p>
      <w:pPr>
        <w:pStyle w:val="EndNoteBibliography"/>
        <w:spacing w:before="0" w:after="0"/>
        <w:ind w:left="720" w:hanging="720"/>
        <w:rPr/>
      </w:pPr>
      <w:bookmarkStart w:id="145" w:name="_ENREF_12"/>
      <w:r>
        <w:rPr/>
        <w:t>12.</w:t>
        <w:tab/>
        <w:t xml:space="preserve">Hsiao, H.C., et al., </w:t>
      </w:r>
      <w:r>
        <w:rPr>
          <w:i/>
        </w:rPr>
        <w:t>Predicting Subcellular Locations of Eukaryotic Proteins Using Bayesian and/k/-Nearest Neighbor Classifiers.</w:t>
      </w:r>
      <w:r>
        <w:rPr/>
        <w:t xml:space="preserve"> J. Inf. Sci. Eng., 2008. </w:t>
      </w:r>
      <w:r>
        <w:rPr>
          <w:b/>
        </w:rPr>
        <w:t>24</w:t>
      </w:r>
      <w:r>
        <w:rPr/>
        <w:t>(5): p. 1361-1375.</w:t>
      </w:r>
      <w:bookmarkEnd w:id="145"/>
    </w:p>
    <w:p>
      <w:pPr>
        <w:pStyle w:val="EndNoteBibliography"/>
        <w:spacing w:before="0" w:after="0"/>
        <w:ind w:left="720" w:hanging="720"/>
        <w:rPr/>
      </w:pPr>
      <w:bookmarkStart w:id="146" w:name="_ENREF_13"/>
      <w:r>
        <w:rPr/>
        <w:t>13.</w:t>
        <w:tab/>
        <w:t xml:space="preserve">Cai, Y.-D., et al., </w:t>
      </w:r>
      <w:r>
        <w:rPr>
          <w:i/>
        </w:rPr>
        <w:t>Application of SVM to predict membrane protein types.</w:t>
      </w:r>
      <w:r>
        <w:rPr/>
        <w:t xml:space="preserve"> Journal of Theoretical Biology, 2004. </w:t>
      </w:r>
      <w:r>
        <w:rPr>
          <w:b/>
        </w:rPr>
        <w:t>226</w:t>
      </w:r>
      <w:r>
        <w:rPr/>
        <w:t>(4): p. 373-376.</w:t>
      </w:r>
      <w:bookmarkEnd w:id="146"/>
    </w:p>
    <w:p>
      <w:pPr>
        <w:pStyle w:val="EndNoteBibliography"/>
        <w:spacing w:before="0" w:after="0"/>
        <w:ind w:left="720" w:hanging="720"/>
        <w:rPr/>
      </w:pPr>
      <w:bookmarkStart w:id="147" w:name="_ENREF_14"/>
      <w:r>
        <w:rPr/>
        <w:t>14.</w:t>
        <w:tab/>
        <w:t xml:space="preserve">Jia, P., et al., </w:t>
      </w:r>
      <w:r>
        <w:rPr>
          <w:i/>
        </w:rPr>
        <w:t>Prediction of membrane protein types in a hybrid space.</w:t>
      </w:r>
      <w:r>
        <w:rPr/>
        <w:t xml:space="preserve"> Journal of proteome research, 2008. </w:t>
      </w:r>
      <w:r>
        <w:rPr>
          <w:b/>
        </w:rPr>
        <w:t>7</w:t>
      </w:r>
      <w:r>
        <w:rPr/>
        <w:t>(3): p. 1131-1137.</w:t>
      </w:r>
      <w:bookmarkEnd w:id="147"/>
    </w:p>
    <w:p>
      <w:pPr>
        <w:pStyle w:val="EndNoteBibliography"/>
        <w:spacing w:before="0" w:after="0"/>
        <w:ind w:left="720" w:hanging="720"/>
        <w:rPr/>
      </w:pPr>
      <w:bookmarkStart w:id="148" w:name="_ENREF_15"/>
      <w:r>
        <w:rPr/>
        <w:t>15.</w:t>
        <w:tab/>
        <w:t xml:space="preserve">Pierleoni, A., P.L. Martelli, and R. Casadio, </w:t>
      </w:r>
      <w:r>
        <w:rPr>
          <w:i/>
        </w:rPr>
        <w:t>MemLoci: predicting subcellular localization of membrane proteins in eukaryotes.</w:t>
      </w:r>
      <w:r>
        <w:rPr/>
        <w:t xml:space="preserve"> Bioinformatics, 2011. </w:t>
      </w:r>
      <w:r>
        <w:rPr>
          <w:b/>
        </w:rPr>
        <w:t>27</w:t>
      </w:r>
      <w:r>
        <w:rPr/>
        <w:t>(9): p. 1224-1230.</w:t>
      </w:r>
      <w:bookmarkEnd w:id="148"/>
    </w:p>
    <w:p>
      <w:pPr>
        <w:pStyle w:val="EndNoteBibliography"/>
        <w:spacing w:before="0" w:after="0"/>
        <w:ind w:left="720" w:hanging="720"/>
        <w:rPr/>
      </w:pPr>
      <w:bookmarkStart w:id="149" w:name="_ENREF_16"/>
      <w:r>
        <w:rPr/>
        <w:t>16.</w:t>
        <w:tab/>
        <w:t xml:space="preserve">Li, H., X. Dai, and X. Zhao, </w:t>
      </w:r>
      <w:r>
        <w:rPr>
          <w:i/>
        </w:rPr>
        <w:t>A nearest neighbor approach for automated transporter prediction and categorization from protein sequences.</w:t>
      </w:r>
      <w:r>
        <w:rPr/>
        <w:t xml:space="preserve"> Bioinformatics, 2008. </w:t>
      </w:r>
      <w:r>
        <w:rPr>
          <w:b/>
        </w:rPr>
        <w:t>24</w:t>
      </w:r>
      <w:r>
        <w:rPr/>
        <w:t>(9): p. 1129-1136.</w:t>
      </w:r>
      <w:bookmarkEnd w:id="149"/>
    </w:p>
    <w:p>
      <w:pPr>
        <w:pStyle w:val="EndNoteBibliography"/>
        <w:spacing w:before="0" w:after="0"/>
        <w:ind w:left="720" w:hanging="720"/>
        <w:rPr/>
      </w:pPr>
      <w:bookmarkStart w:id="150" w:name="_ENREF_17"/>
      <w:r>
        <w:rPr/>
        <w:t>17.</w:t>
        <w:tab/>
        <w:t xml:space="preserve">Ou, Y.-Y. and S.-A. Chen, </w:t>
      </w:r>
      <w:r>
        <w:rPr>
          <w:i/>
        </w:rPr>
        <w:t>Using Efficient RBF Networks to Classify Transport Proteins Based on PSSM Profiles and Biochemical Properties</w:t>
      </w:r>
      <w:r>
        <w:rPr/>
        <w:t xml:space="preserve">, in </w:t>
      </w:r>
      <w:r>
        <w:rPr>
          <w:i/>
        </w:rPr>
        <w:t>Bio-Inspired Systems: Computational and Ambient Intelligence</w:t>
      </w:r>
      <w:r>
        <w:rPr/>
        <w:t>. 2009, Springer. p. 869-876.</w:t>
      </w:r>
      <w:bookmarkEnd w:id="150"/>
    </w:p>
    <w:p>
      <w:pPr>
        <w:pStyle w:val="EndNoteBibliography"/>
        <w:spacing w:before="0" w:after="0"/>
        <w:ind w:left="720" w:hanging="720"/>
        <w:rPr/>
      </w:pPr>
      <w:bookmarkStart w:id="151" w:name="_ENREF_18"/>
      <w:r>
        <w:rPr/>
        <w:t>18.</w:t>
        <w:tab/>
        <w:t xml:space="preserve">Chen, S.-A., et al., </w:t>
      </w:r>
      <w:r>
        <w:rPr>
          <w:i/>
        </w:rPr>
        <w:t>Prediction of transporter targets using efficient RBF networks with PSSM profiles and biochemical properties.</w:t>
      </w:r>
      <w:r>
        <w:rPr/>
        <w:t xml:space="preserve"> Bioinformatics, 2011. </w:t>
      </w:r>
      <w:r>
        <w:rPr>
          <w:b/>
        </w:rPr>
        <w:t>27</w:t>
      </w:r>
      <w:r>
        <w:rPr/>
        <w:t>(15): p. 2062-2067.</w:t>
      </w:r>
      <w:bookmarkEnd w:id="151"/>
    </w:p>
    <w:p>
      <w:pPr>
        <w:pStyle w:val="EndNoteBibliography"/>
        <w:spacing w:before="0" w:after="0"/>
        <w:ind w:left="720" w:hanging="720"/>
        <w:rPr/>
      </w:pPr>
      <w:bookmarkStart w:id="152" w:name="_ENREF_19"/>
      <w:r>
        <w:rPr/>
        <w:t>19.</w:t>
        <w:tab/>
        <w:t xml:space="preserve">Jain, S., et al., </w:t>
      </w:r>
      <w:r>
        <w:rPr>
          <w:i/>
        </w:rPr>
        <w:t>TpPred: A Tool for Hierarchical Prediction of Transport Proteins Using Cluster of Neural Networks and Sequence Derived Features.</w:t>
      </w:r>
      <w:r>
        <w:rPr/>
        <w:t xml:space="preserve"> International Journal for Computational Biology (IJCB), 2014. </w:t>
      </w:r>
      <w:r>
        <w:rPr>
          <w:b/>
        </w:rPr>
        <w:t>1</w:t>
      </w:r>
      <w:r>
        <w:rPr/>
        <w:t>(1): p. 28-36.</w:t>
      </w:r>
      <w:bookmarkEnd w:id="152"/>
    </w:p>
    <w:p>
      <w:pPr>
        <w:pStyle w:val="EndNoteBibliography"/>
        <w:spacing w:before="0" w:after="0"/>
        <w:ind w:left="720" w:hanging="720"/>
        <w:rPr/>
      </w:pPr>
      <w:bookmarkStart w:id="153" w:name="_ENREF_20"/>
      <w:r>
        <w:rPr/>
        <w:t>20.</w:t>
        <w:tab/>
        <w:t xml:space="preserve">Aplop, F. and G. Butler. </w:t>
      </w:r>
      <w:r>
        <w:rPr>
          <w:i/>
        </w:rPr>
        <w:t>On predicting transport proteins and their substrates for the reconstruction of metabolic networks</w:t>
      </w:r>
      <w:r>
        <w:rPr/>
        <w:t xml:space="preserve">. in </w:t>
      </w:r>
      <w:r>
        <w:rPr>
          <w:i/>
        </w:rPr>
        <w:t>Computational Intelligence in Bioinformatics and Computational Biology (CIBCB), 2015 IEEE Conference on</w:t>
      </w:r>
      <w:r>
        <w:rPr/>
        <w:t>. 2015. IEEE.</w:t>
      </w:r>
      <w:bookmarkEnd w:id="153"/>
    </w:p>
    <w:p>
      <w:pPr>
        <w:pStyle w:val="EndNoteBibliography"/>
        <w:spacing w:before="0" w:after="0"/>
        <w:ind w:left="720" w:hanging="720"/>
        <w:rPr/>
      </w:pPr>
      <w:bookmarkStart w:id="154" w:name="_ENREF_21"/>
      <w:r>
        <w:rPr/>
        <w:t>21.</w:t>
        <w:tab/>
        <w:t xml:space="preserve">Mishra, N.K., J. Chang, and P.X. Zhao, </w:t>
      </w:r>
      <w:r>
        <w:rPr>
          <w:i/>
        </w:rPr>
        <w:t>Prediction of Membrane Transport Proteins and Their Substrate Specificities Using Primary Sequence Information.</w:t>
      </w:r>
      <w:r>
        <w:rPr/>
        <w:t xml:space="preserve"> 2014.</w:t>
      </w:r>
      <w:bookmarkEnd w:id="154"/>
    </w:p>
    <w:p>
      <w:pPr>
        <w:pStyle w:val="EndNoteBibliography"/>
        <w:spacing w:before="0" w:after="0"/>
        <w:ind w:left="720" w:hanging="720"/>
        <w:rPr/>
      </w:pPr>
      <w:bookmarkStart w:id="155" w:name="_ENREF_22"/>
      <w:r>
        <w:rPr/>
        <w:t>22.</w:t>
        <w:tab/>
        <w:t xml:space="preserve">Liou, Y.-F., et al., </w:t>
      </w:r>
      <w:r>
        <w:rPr>
          <w:i/>
        </w:rPr>
        <w:t>SCMMTP: identifying and characterizing membrane transport proteins using propensity scores of dipeptides.</w:t>
      </w:r>
      <w:r>
        <w:rPr/>
        <w:t xml:space="preserve"> BMC genomics, 2015. </w:t>
      </w:r>
      <w:r>
        <w:rPr>
          <w:b/>
        </w:rPr>
        <w:t>16</w:t>
      </w:r>
      <w:r>
        <w:rPr/>
        <w:t>(Suppl 12): p. S6.</w:t>
      </w:r>
      <w:bookmarkEnd w:id="155"/>
    </w:p>
    <w:p>
      <w:pPr>
        <w:pStyle w:val="EndNoteBibliography"/>
        <w:spacing w:before="0" w:after="0"/>
        <w:ind w:left="720" w:hanging="720"/>
        <w:rPr/>
      </w:pPr>
      <w:bookmarkStart w:id="156" w:name="_ENREF_23"/>
      <w:r>
        <w:rPr/>
        <w:t>23.</w:t>
        <w:tab/>
        <w:t xml:space="preserve">Li, L., et al., </w:t>
      </w:r>
      <w:r>
        <w:rPr>
          <w:i/>
        </w:rPr>
        <w:t>Prediction the substrate specificities of membrane transport proteins based on support vector machine and hybrid features.</w:t>
      </w:r>
      <w:r>
        <w:rPr/>
        <w:t xml:space="preserve"> 2015.</w:t>
      </w:r>
      <w:bookmarkEnd w:id="156"/>
    </w:p>
    <w:p>
      <w:pPr>
        <w:pStyle w:val="EndNoteBibliography"/>
        <w:spacing w:before="0" w:after="0"/>
        <w:ind w:left="720" w:hanging="720"/>
        <w:rPr/>
      </w:pPr>
      <w:bookmarkStart w:id="157" w:name="_ENREF_24"/>
      <w:r>
        <w:rPr/>
        <w:t>24.</w:t>
        <w:tab/>
        <w:t xml:space="preserve">Webber, M. and L. Piddock, </w:t>
      </w:r>
      <w:r>
        <w:rPr>
          <w:i/>
        </w:rPr>
        <w:t>The importance of efflux pumps in bacterial antibiotic resistance.</w:t>
      </w:r>
      <w:r>
        <w:rPr/>
        <w:t xml:space="preserve"> Journal of Antimicrobial Chemotherapy, 2003. </w:t>
      </w:r>
      <w:r>
        <w:rPr>
          <w:b/>
        </w:rPr>
        <w:t>51</w:t>
      </w:r>
      <w:r>
        <w:rPr/>
        <w:t>(1): p. 9-11.</w:t>
      </w:r>
      <w:bookmarkEnd w:id="157"/>
    </w:p>
    <w:p>
      <w:pPr>
        <w:pStyle w:val="EndNoteBibliography"/>
        <w:spacing w:before="0" w:after="0"/>
        <w:ind w:left="720" w:hanging="720"/>
        <w:rPr/>
      </w:pPr>
      <w:bookmarkStart w:id="158" w:name="_ENREF_25"/>
      <w:r>
        <w:rPr/>
        <w:t>25.</w:t>
        <w:tab/>
        <w:t xml:space="preserve">Levy, S.B., </w:t>
      </w:r>
      <w:r>
        <w:rPr>
          <w:i/>
        </w:rPr>
        <w:t>Active efflux mechanisms for antimicrobial resistance.</w:t>
      </w:r>
      <w:r>
        <w:rPr/>
        <w:t xml:space="preserve"> Antimicrobial Agents and Chemotherapy, 1992. </w:t>
      </w:r>
      <w:r>
        <w:rPr>
          <w:b/>
        </w:rPr>
        <w:t>36</w:t>
      </w:r>
      <w:r>
        <w:rPr/>
        <w:t>(4): p. 695.</w:t>
      </w:r>
      <w:bookmarkEnd w:id="158"/>
    </w:p>
    <w:p>
      <w:pPr>
        <w:pStyle w:val="EndNoteBibliography"/>
        <w:spacing w:before="0" w:after="0"/>
        <w:ind w:left="720" w:hanging="720"/>
        <w:rPr/>
      </w:pPr>
      <w:bookmarkStart w:id="159" w:name="_ENREF_26"/>
      <w:r>
        <w:rPr/>
        <w:t>26.</w:t>
        <w:tab/>
        <w:t xml:space="preserve">Saier, M.H., C.V. Tran, and R.D. Barabote, </w:t>
      </w:r>
      <w:r>
        <w:rPr>
          <w:i/>
        </w:rPr>
        <w:t>TCDB: the Transporter Classification Database for membrane transport protein analyses and information.</w:t>
      </w:r>
      <w:r>
        <w:rPr/>
        <w:t xml:space="preserve"> Nucleic acids research, 2006. </w:t>
      </w:r>
      <w:r>
        <w:rPr>
          <w:b/>
        </w:rPr>
        <w:t>34</w:t>
      </w:r>
      <w:r>
        <w:rPr/>
        <w:t>(suppl 1): p. D181-D186.</w:t>
      </w:r>
      <w:bookmarkEnd w:id="159"/>
    </w:p>
    <w:p>
      <w:pPr>
        <w:pStyle w:val="EndNoteBibliography"/>
        <w:spacing w:before="0" w:after="0"/>
        <w:ind w:left="720" w:hanging="720"/>
        <w:rPr/>
      </w:pPr>
      <w:bookmarkStart w:id="160" w:name="_ENREF_27"/>
      <w:r>
        <w:rPr/>
        <w:t>27.</w:t>
        <w:tab/>
        <w:t xml:space="preserve">Poole, K., </w:t>
      </w:r>
      <w:r>
        <w:rPr>
          <w:i/>
        </w:rPr>
        <w:t>Efflux pumps as antimicrobial resistance mechanisms.</w:t>
      </w:r>
      <w:r>
        <w:rPr/>
        <w:t xml:space="preserve"> Annals of medicine, 2007. </w:t>
      </w:r>
      <w:r>
        <w:rPr>
          <w:b/>
        </w:rPr>
        <w:t>39</w:t>
      </w:r>
      <w:r>
        <w:rPr/>
        <w:t>(3): p. 162-176.</w:t>
      </w:r>
      <w:bookmarkEnd w:id="160"/>
    </w:p>
    <w:p>
      <w:pPr>
        <w:pStyle w:val="EndNoteBibliography"/>
        <w:spacing w:before="0" w:after="0"/>
        <w:ind w:left="720" w:hanging="720"/>
        <w:rPr/>
      </w:pPr>
      <w:bookmarkStart w:id="161" w:name="_ENREF_28"/>
      <w:r>
        <w:rPr/>
        <w:t>28.</w:t>
        <w:tab/>
        <w:t xml:space="preserve">Johnson, J.M. and G.M. Church, </w:t>
      </w:r>
      <w:r>
        <w:rPr>
          <w:i/>
        </w:rPr>
        <w:t>Alignment and structure prediction of divergent protein families: periplasmic and outer membrane proteins of bacterial efflux pumps.</w:t>
      </w:r>
      <w:r>
        <w:rPr/>
        <w:t xml:space="preserve"> Journal of molecular biology, 1999. </w:t>
      </w:r>
      <w:r>
        <w:rPr>
          <w:b/>
        </w:rPr>
        <w:t>287</w:t>
      </w:r>
      <w:r>
        <w:rPr/>
        <w:t>(3): p. 695-715.</w:t>
      </w:r>
      <w:bookmarkEnd w:id="161"/>
    </w:p>
    <w:p>
      <w:pPr>
        <w:pStyle w:val="EndNoteBibliography"/>
        <w:spacing w:before="0" w:after="0"/>
        <w:ind w:left="720" w:hanging="720"/>
        <w:rPr/>
      </w:pPr>
      <w:bookmarkStart w:id="162" w:name="_ENREF_29"/>
      <w:r>
        <w:rPr/>
        <w:t>29.</w:t>
        <w:tab/>
        <w:t xml:space="preserve">van Amsterdam, K., A. Bart, and A. van der Ende, </w:t>
      </w:r>
      <w:r>
        <w:rPr>
          <w:i/>
        </w:rPr>
        <w:t>A Helicobacter pylori TolC efflux pump confers resistance to metronidazole.</w:t>
      </w:r>
      <w:r>
        <w:rPr/>
        <w:t xml:space="preserve"> Antimicrobial agents and chemotherapy, 2005. </w:t>
      </w:r>
      <w:r>
        <w:rPr>
          <w:b/>
        </w:rPr>
        <w:t>49</w:t>
      </w:r>
      <w:r>
        <w:rPr/>
        <w:t>(4): p. 1477-1482.</w:t>
      </w:r>
      <w:bookmarkEnd w:id="162"/>
    </w:p>
    <w:p>
      <w:pPr>
        <w:pStyle w:val="EndNoteBibliography"/>
        <w:spacing w:before="0" w:after="0"/>
        <w:ind w:left="720" w:hanging="720"/>
        <w:rPr/>
      </w:pPr>
      <w:bookmarkStart w:id="163" w:name="_ENREF_30"/>
      <w:r>
        <w:rPr/>
        <w:t>30.</w:t>
        <w:tab/>
        <w:t xml:space="preserve">Boundless, </w:t>
      </w:r>
      <w:r>
        <w:rPr>
          <w:i/>
        </w:rPr>
        <w:t>ATP: Adenosine Triphosphate.</w:t>
      </w:r>
      <w:r>
        <w:rPr/>
        <w:t xml:space="preserve"> Boundless Biology. Boundless, 08 Jan. 2016. Retrieved 26 Jan. 2016 from </w:t>
      </w:r>
      <w:hyperlink r:id="rId33">
        <w:r>
          <w:rPr>
            <w:rStyle w:val="InternetLink"/>
          </w:rPr>
          <w:t>https://www.boundless.com/biology/textbooks/boundless-biology-textbook/metabolism-6/atp-adenosine-triphosphate-71/atp-adenosine-triphosphate-349-12938/</w:t>
        </w:r>
      </w:hyperlink>
      <w:r>
        <w:rPr/>
        <w:t>.</w:t>
      </w:r>
      <w:bookmarkEnd w:id="163"/>
    </w:p>
    <w:p>
      <w:pPr>
        <w:pStyle w:val="EndNoteBibliography"/>
        <w:spacing w:before="0" w:after="0"/>
        <w:ind w:left="720" w:hanging="720"/>
        <w:rPr/>
      </w:pPr>
      <w:bookmarkStart w:id="164" w:name="_ENREF_31"/>
      <w:r>
        <w:rPr/>
        <w:t>31.</w:t>
        <w:tab/>
        <w:t xml:space="preserve">DuPont, F., </w:t>
      </w:r>
      <w:r>
        <w:rPr>
          <w:i/>
        </w:rPr>
        <w:t>Salt-induced changes in ion transport: regulation of primary pumps and secondary transporters</w:t>
      </w:r>
      <w:r>
        <w:rPr/>
        <w:t xml:space="preserve">, in </w:t>
      </w:r>
      <w:r>
        <w:rPr>
          <w:i/>
        </w:rPr>
        <w:t>Transport and receptor proteins of plant membranes</w:t>
      </w:r>
      <w:r>
        <w:rPr/>
        <w:t>. 1992, Springer. p. 91-100.</w:t>
      </w:r>
      <w:bookmarkEnd w:id="164"/>
    </w:p>
    <w:p>
      <w:pPr>
        <w:pStyle w:val="EndNoteBibliography"/>
        <w:spacing w:before="0" w:after="0"/>
        <w:ind w:left="720" w:hanging="720"/>
        <w:rPr/>
      </w:pPr>
      <w:bookmarkStart w:id="165" w:name="_ENREF_32"/>
      <w:r>
        <w:rPr/>
        <w:t>32.</w:t>
        <w:tab/>
        <w:t xml:space="preserve">Mahamoud, A., et al., </w:t>
      </w:r>
      <w:r>
        <w:rPr>
          <w:i/>
        </w:rPr>
        <w:t>Antibiotic efflux pumps in Gram-negative bacteria: the inhibitor response strategy.</w:t>
      </w:r>
      <w:r>
        <w:rPr/>
        <w:t xml:space="preserve"> Journal of Antimicrobial Chemotherapy, 2007. </w:t>
      </w:r>
      <w:r>
        <w:rPr>
          <w:b/>
        </w:rPr>
        <w:t>59</w:t>
      </w:r>
      <w:r>
        <w:rPr/>
        <w:t>(6): p. 1223-1229.</w:t>
      </w:r>
      <w:bookmarkEnd w:id="165"/>
    </w:p>
    <w:p>
      <w:pPr>
        <w:pStyle w:val="EndNoteBibliography"/>
        <w:spacing w:before="0" w:after="0"/>
        <w:ind w:left="720" w:hanging="720"/>
        <w:rPr/>
      </w:pPr>
      <w:bookmarkStart w:id="166" w:name="_ENREF_33"/>
      <w:r>
        <w:rPr/>
        <w:t>33.</w:t>
        <w:tab/>
        <w:t xml:space="preserve">Moreira, M.A.S., E.C.d. Souza, and C.A.d. Moraes, </w:t>
      </w:r>
      <w:r>
        <w:rPr>
          <w:i/>
        </w:rPr>
        <w:t>Multidrug efflux systems in Gram-negative bacteria.</w:t>
      </w:r>
      <w:r>
        <w:rPr/>
        <w:t xml:space="preserve"> Brazilian Journal of Microbiology, 2004. </w:t>
      </w:r>
      <w:r>
        <w:rPr>
          <w:b/>
        </w:rPr>
        <w:t>35</w:t>
      </w:r>
      <w:r>
        <w:rPr/>
        <w:t>(1-2): p. 19-28.</w:t>
      </w:r>
      <w:bookmarkEnd w:id="166"/>
    </w:p>
    <w:p>
      <w:pPr>
        <w:pStyle w:val="EndNoteBibliography"/>
        <w:spacing w:before="0" w:after="0"/>
        <w:ind w:left="720" w:hanging="720"/>
        <w:rPr/>
      </w:pPr>
      <w:bookmarkStart w:id="167" w:name="_ENREF_34"/>
      <w:r>
        <w:rPr/>
        <w:t>34.</w:t>
        <w:tab/>
        <w:t xml:space="preserve">Martinez, J.L., et al., </w:t>
      </w:r>
      <w:r>
        <w:rPr>
          <w:i/>
        </w:rPr>
        <w:t>Functional role of bacterial multidrug efflux pumps in microbial natural ecosystems.</w:t>
      </w:r>
      <w:r>
        <w:rPr/>
        <w:t xml:space="preserve"> FEMS microbiology reviews, 2009. </w:t>
      </w:r>
      <w:r>
        <w:rPr>
          <w:b/>
        </w:rPr>
        <w:t>33</w:t>
      </w:r>
      <w:r>
        <w:rPr/>
        <w:t>(2): p. 430-449.</w:t>
      </w:r>
      <w:bookmarkEnd w:id="167"/>
    </w:p>
    <w:p>
      <w:pPr>
        <w:pStyle w:val="EndNoteBibliography"/>
        <w:spacing w:before="0" w:after="0"/>
        <w:ind w:left="720" w:hanging="720"/>
        <w:rPr/>
      </w:pPr>
      <w:bookmarkStart w:id="168" w:name="_ENREF_35"/>
      <w:r>
        <w:rPr/>
        <w:t>35.</w:t>
        <w:tab/>
        <w:t xml:space="preserve">Langton, K.P., P.J. Henderson, and R.B. Herbert, </w:t>
      </w:r>
      <w:r>
        <w:rPr>
          <w:i/>
        </w:rPr>
        <w:t>Antibiotic resistance: multidrug efflux proteins, a common transport mechanism?</w:t>
      </w:r>
      <w:r>
        <w:rPr/>
        <w:t xml:space="preserve"> Natural product reports, 2005. </w:t>
      </w:r>
      <w:r>
        <w:rPr>
          <w:b/>
        </w:rPr>
        <w:t>22</w:t>
      </w:r>
      <w:r>
        <w:rPr/>
        <w:t>(4): p. 439-451.</w:t>
      </w:r>
      <w:bookmarkEnd w:id="168"/>
    </w:p>
    <w:p>
      <w:pPr>
        <w:pStyle w:val="EndNoteBibliography"/>
        <w:spacing w:before="0" w:after="0"/>
        <w:ind w:left="720" w:hanging="720"/>
        <w:rPr/>
      </w:pPr>
      <w:bookmarkStart w:id="169" w:name="_ENREF_36"/>
      <w:r>
        <w:rPr/>
        <w:t>36.</w:t>
        <w:tab/>
        <w:t xml:space="preserve">Kourtesi, C., et al., </w:t>
      </w:r>
      <w:r>
        <w:rPr>
          <w:i/>
        </w:rPr>
        <w:t>Suppl 1: Microbial Efflux Systems and Inhibitors: Approaches to Drug Discovery and the Challenge of Clinical Implementation.</w:t>
      </w:r>
      <w:r>
        <w:rPr/>
        <w:t xml:space="preserve"> The open microbiology journal, 2013. </w:t>
      </w:r>
      <w:r>
        <w:rPr>
          <w:b/>
        </w:rPr>
        <w:t>7</w:t>
      </w:r>
      <w:r>
        <w:rPr/>
        <w:t>: p. 34.</w:t>
      </w:r>
      <w:bookmarkEnd w:id="169"/>
    </w:p>
    <w:p>
      <w:pPr>
        <w:pStyle w:val="EndNoteBibliography"/>
        <w:spacing w:before="0" w:after="0"/>
        <w:ind w:left="720" w:hanging="720"/>
        <w:rPr/>
      </w:pPr>
      <w:bookmarkStart w:id="170" w:name="_ENREF_37"/>
      <w:r>
        <w:rPr/>
        <w:t>37.</w:t>
        <w:tab/>
        <w:t xml:space="preserve">Pao, S.S., I.T. Paulsen, and M.H. Saier, </w:t>
      </w:r>
      <w:r>
        <w:rPr>
          <w:i/>
        </w:rPr>
        <w:t>Major facilitator superfamily.</w:t>
      </w:r>
      <w:r>
        <w:rPr/>
        <w:t xml:space="preserve"> Microbiology and Molecular Biology Reviews, 1998. </w:t>
      </w:r>
      <w:r>
        <w:rPr>
          <w:b/>
        </w:rPr>
        <w:t>62</w:t>
      </w:r>
      <w:r>
        <w:rPr/>
        <w:t>(1): p. 1-34.</w:t>
      </w:r>
      <w:bookmarkEnd w:id="170"/>
    </w:p>
    <w:p>
      <w:pPr>
        <w:pStyle w:val="EndNoteBibliography"/>
        <w:spacing w:before="0" w:after="0"/>
        <w:ind w:left="720" w:hanging="720"/>
        <w:rPr/>
      </w:pPr>
      <w:bookmarkStart w:id="171" w:name="_ENREF_38"/>
      <w:r>
        <w:rPr/>
        <w:t>38.</w:t>
        <w:tab/>
        <w:t xml:space="preserve">Paulsen, I.T., et al., </w:t>
      </w:r>
      <w:r>
        <w:rPr>
          <w:i/>
        </w:rPr>
        <w:t>The SMR family: a novel family of multidrug efflux proteins involved with the efflux of lipophilic drugs.</w:t>
      </w:r>
      <w:r>
        <w:rPr/>
        <w:t xml:space="preserve"> Molecular microbiology, 1996. </w:t>
      </w:r>
      <w:r>
        <w:rPr>
          <w:b/>
        </w:rPr>
        <w:t>19</w:t>
      </w:r>
      <w:r>
        <w:rPr/>
        <w:t>(6): p. 1167-1175.</w:t>
      </w:r>
      <w:bookmarkEnd w:id="171"/>
    </w:p>
    <w:p>
      <w:pPr>
        <w:pStyle w:val="EndNoteBibliography"/>
        <w:spacing w:before="0" w:after="0"/>
        <w:ind w:left="720" w:hanging="720"/>
        <w:rPr/>
      </w:pPr>
      <w:bookmarkStart w:id="172" w:name="_ENREF_39"/>
      <w:r>
        <w:rPr/>
        <w:t>39.</w:t>
        <w:tab/>
        <w:t xml:space="preserve">Kuroda, T. and T. Tsuchiya, </w:t>
      </w:r>
      <w:r>
        <w:rPr>
          <w:i/>
        </w:rPr>
        <w:t>Multidrug efflux transporters in the MATE family.</w:t>
      </w:r>
      <w:r>
        <w:rPr/>
        <w:t xml:space="preserve"> Biochimica et Biophysica Acta (BBA)-Proteins and Proteomics, 2009. </w:t>
      </w:r>
      <w:r>
        <w:rPr>
          <w:b/>
        </w:rPr>
        <w:t>1794</w:t>
      </w:r>
      <w:r>
        <w:rPr/>
        <w:t>(5): p. 763-768.</w:t>
      </w:r>
      <w:bookmarkEnd w:id="172"/>
    </w:p>
    <w:p>
      <w:pPr>
        <w:pStyle w:val="EndNoteBibliography"/>
        <w:spacing w:before="0" w:after="0"/>
        <w:ind w:left="720" w:hanging="720"/>
        <w:rPr/>
      </w:pPr>
      <w:bookmarkStart w:id="173" w:name="_ENREF_40"/>
      <w:r>
        <w:rPr/>
        <w:t>40.</w:t>
        <w:tab/>
        <w:t xml:space="preserve">Schmitt, L. and R. Tampé, </w:t>
      </w:r>
      <w:r>
        <w:rPr>
          <w:i/>
        </w:rPr>
        <w:t>Structure and mechanism of ABC transporters.</w:t>
      </w:r>
      <w:r>
        <w:rPr/>
        <w:t xml:space="preserve"> Current opinion in structural biology, 2002. </w:t>
      </w:r>
      <w:r>
        <w:rPr>
          <w:b/>
        </w:rPr>
        <w:t>12</w:t>
      </w:r>
      <w:r>
        <w:rPr/>
        <w:t>(6): p. 754-760.</w:t>
      </w:r>
      <w:bookmarkEnd w:id="173"/>
    </w:p>
    <w:p>
      <w:pPr>
        <w:pStyle w:val="EndNoteBibliography"/>
        <w:spacing w:before="0" w:after="0"/>
        <w:ind w:left="720" w:hanging="720"/>
        <w:rPr/>
      </w:pPr>
      <w:bookmarkStart w:id="174" w:name="_ENREF_41"/>
      <w:r>
        <w:rPr/>
        <w:t>41.</w:t>
        <w:tab/>
        <w:t xml:space="preserve">Moussatova, A., et al., </w:t>
      </w:r>
      <w:r>
        <w:rPr>
          <w:i/>
        </w:rPr>
        <w:t>ATP-binding cassette transporters in Escherichia coli.</w:t>
      </w:r>
      <w:r>
        <w:rPr/>
        <w:t xml:space="preserve"> Biochimica et Biophysica Acta (BBA)-Biomembranes, 2008. </w:t>
      </w:r>
      <w:r>
        <w:rPr>
          <w:b/>
        </w:rPr>
        <w:t>1778</w:t>
      </w:r>
      <w:r>
        <w:rPr/>
        <w:t>(9): p. 1757-1771.</w:t>
      </w:r>
      <w:bookmarkEnd w:id="174"/>
    </w:p>
    <w:p>
      <w:pPr>
        <w:pStyle w:val="EndNoteBibliography"/>
        <w:spacing w:before="0" w:after="0"/>
        <w:ind w:left="720" w:hanging="720"/>
        <w:rPr/>
      </w:pPr>
      <w:bookmarkStart w:id="175" w:name="_ENREF_42"/>
      <w:r>
        <w:rPr/>
        <w:t>42.</w:t>
        <w:tab/>
        <w:t xml:space="preserve">Pedersen, J.M., </w:t>
      </w:r>
      <w:r>
        <w:rPr>
          <w:i/>
        </w:rPr>
        <w:t>ATP-Binding-Cassette Transporters in Biliary Efflux and Drug-Induced Liver Injury.</w:t>
      </w:r>
      <w:r>
        <w:rPr/>
        <w:t xml:space="preserve"> 2013.</w:t>
      </w:r>
      <w:bookmarkEnd w:id="175"/>
    </w:p>
    <w:p>
      <w:pPr>
        <w:pStyle w:val="EndNoteBibliography"/>
        <w:spacing w:before="0" w:after="0"/>
        <w:ind w:left="720" w:hanging="720"/>
        <w:rPr/>
      </w:pPr>
      <w:bookmarkStart w:id="176" w:name="_ENREF_43"/>
      <w:r>
        <w:rPr/>
        <w:t>43.</w:t>
        <w:tab/>
        <w:t xml:space="preserve">Blair, J.M. and L.J. Piddock, </w:t>
      </w:r>
      <w:r>
        <w:rPr>
          <w:i/>
        </w:rPr>
        <w:t>Structure, function and inhibition of RND efflux pumps in Gram-negative bacteria: an update.</w:t>
      </w:r>
      <w:r>
        <w:rPr/>
        <w:t xml:space="preserve"> Current opinion in microbiology, 2009. </w:t>
      </w:r>
      <w:r>
        <w:rPr>
          <w:b/>
        </w:rPr>
        <w:t>12</w:t>
      </w:r>
      <w:r>
        <w:rPr/>
        <w:t>(5): p. 512-519.</w:t>
      </w:r>
      <w:bookmarkEnd w:id="176"/>
    </w:p>
    <w:p>
      <w:pPr>
        <w:pStyle w:val="EndNoteBibliography"/>
        <w:spacing w:before="0" w:after="0"/>
        <w:ind w:left="720" w:hanging="720"/>
        <w:rPr/>
      </w:pPr>
      <w:bookmarkStart w:id="177" w:name="_ENREF_44"/>
      <w:r>
        <w:rPr/>
        <w:t>44.</w:t>
        <w:tab/>
        <w:t xml:space="preserve">Nikaido, H. and Y. Takatsuka, </w:t>
      </w:r>
      <w:r>
        <w:rPr>
          <w:i/>
        </w:rPr>
        <w:t>Mechanisms of RND multidrug efflux pumps.</w:t>
      </w:r>
      <w:r>
        <w:rPr/>
        <w:t xml:space="preserve"> Biochimica et Biophysica Acta (BBA)-Proteins and Proteomics, 2009. </w:t>
      </w:r>
      <w:r>
        <w:rPr>
          <w:b/>
        </w:rPr>
        <w:t>1794</w:t>
      </w:r>
      <w:r>
        <w:rPr/>
        <w:t>(5): p. 769-781.</w:t>
      </w:r>
      <w:bookmarkEnd w:id="177"/>
    </w:p>
    <w:p>
      <w:pPr>
        <w:pStyle w:val="EndNoteBibliography"/>
        <w:spacing w:before="0" w:after="0"/>
        <w:ind w:left="720" w:hanging="720"/>
        <w:rPr/>
      </w:pPr>
      <w:bookmarkStart w:id="178" w:name="_ENREF_45"/>
      <w:r>
        <w:rPr/>
        <w:t>45.</w:t>
        <w:tab/>
        <w:t xml:space="preserve">Borges-Walmsley, M., K. McKeegan, and A. Walmsley, </w:t>
      </w:r>
      <w:r>
        <w:rPr>
          <w:i/>
        </w:rPr>
        <w:t>Structure and function of efflux pumps that confer resistance to drugs.</w:t>
      </w:r>
      <w:r>
        <w:rPr/>
        <w:t xml:space="preserve"> Biochem. J, 2003. </w:t>
      </w:r>
      <w:r>
        <w:rPr>
          <w:b/>
        </w:rPr>
        <w:t>376</w:t>
      </w:r>
      <w:r>
        <w:rPr/>
        <w:t>: p. 313-338.</w:t>
      </w:r>
      <w:bookmarkEnd w:id="178"/>
    </w:p>
    <w:p>
      <w:pPr>
        <w:pStyle w:val="EndNoteBibliography"/>
        <w:spacing w:before="0" w:after="0"/>
        <w:ind w:left="720" w:hanging="720"/>
        <w:rPr/>
      </w:pPr>
      <w:bookmarkStart w:id="179" w:name="_ENREF_46"/>
      <w:r>
        <w:rPr/>
        <w:t>46.</w:t>
        <w:tab/>
        <w:t xml:space="preserve">Fluman, N., et al., </w:t>
      </w:r>
      <w:r>
        <w:rPr>
          <w:i/>
        </w:rPr>
        <w:t>Dissection of mechanistic principles of a secondary multidrug efflux protein.</w:t>
      </w:r>
      <w:r>
        <w:rPr/>
        <w:t xml:space="preserve"> Molecular cell, 2012. </w:t>
      </w:r>
      <w:r>
        <w:rPr>
          <w:b/>
        </w:rPr>
        <w:t>47</w:t>
      </w:r>
      <w:r>
        <w:rPr/>
        <w:t>(5): p. 777-787.</w:t>
      </w:r>
      <w:bookmarkEnd w:id="179"/>
    </w:p>
    <w:p>
      <w:pPr>
        <w:pStyle w:val="EndNoteBibliography"/>
        <w:spacing w:before="0" w:after="0"/>
        <w:ind w:left="720" w:hanging="720"/>
        <w:rPr/>
      </w:pPr>
      <w:bookmarkStart w:id="180" w:name="_ENREF_47"/>
      <w:r>
        <w:rPr/>
        <w:t>47.</w:t>
        <w:tab/>
        <w:t xml:space="preserve">Ou, Y.Y., et al., </w:t>
      </w:r>
      <w:r>
        <w:rPr>
          <w:i/>
        </w:rPr>
        <w:t>Identification of efflux proteins using efficient radial basis function networks with position‐specific scoring matrices and biochemical properties.</w:t>
      </w:r>
      <w:r>
        <w:rPr/>
        <w:t xml:space="preserve"> Proteins: Structure, Function, and Bioinformatics, 2013. </w:t>
      </w:r>
      <w:r>
        <w:rPr>
          <w:b/>
        </w:rPr>
        <w:t>81</w:t>
      </w:r>
      <w:r>
        <w:rPr/>
        <w:t>(9): p. 1634-1643.</w:t>
      </w:r>
      <w:bookmarkEnd w:id="180"/>
    </w:p>
    <w:p>
      <w:pPr>
        <w:pStyle w:val="EndNoteBibliography"/>
        <w:spacing w:before="0" w:after="0"/>
        <w:ind w:left="720" w:hanging="720"/>
        <w:rPr/>
      </w:pPr>
      <w:bookmarkStart w:id="181" w:name="_ENREF_48"/>
      <w:r>
        <w:rPr/>
        <w:t>48.</w:t>
        <w:tab/>
        <w:t xml:space="preserve">Gromiha, M.M., et al., </w:t>
      </w:r>
      <w:r>
        <w:rPr>
          <w:i/>
        </w:rPr>
        <w:t>Mutational studies to understand the structure–function relationship in multidrug efflux transporters: Applications for distinguishing mutants with high specificity.</w:t>
      </w:r>
      <w:r>
        <w:rPr/>
        <w:t xml:space="preserve"> International journal of biological macromolecules, 2015. </w:t>
      </w:r>
      <w:r>
        <w:rPr>
          <w:b/>
        </w:rPr>
        <w:t>75</w:t>
      </w:r>
      <w:r>
        <w:rPr/>
        <w:t>: p. 218-224.</w:t>
      </w:r>
      <w:bookmarkEnd w:id="181"/>
    </w:p>
    <w:p>
      <w:pPr>
        <w:pStyle w:val="EndNoteBibliography"/>
        <w:spacing w:before="0" w:after="0"/>
        <w:ind w:left="720" w:hanging="720"/>
        <w:rPr/>
      </w:pPr>
      <w:bookmarkStart w:id="182" w:name="_ENREF_49"/>
      <w:r>
        <w:rPr/>
        <w:t>49.</w:t>
        <w:tab/>
        <w:t xml:space="preserve">Reddy, V.S., et al., </w:t>
      </w:r>
      <w:r>
        <w:rPr>
          <w:i/>
        </w:rPr>
        <w:t>The major facilitator superfamily (MFS) revisited.</w:t>
      </w:r>
      <w:r>
        <w:rPr/>
        <w:t xml:space="preserve"> FEBS Journal, 2012. </w:t>
      </w:r>
      <w:r>
        <w:rPr>
          <w:b/>
        </w:rPr>
        <w:t>279</w:t>
      </w:r>
      <w:r>
        <w:rPr/>
        <w:t>(11): p. 2022-2035.</w:t>
      </w:r>
      <w:bookmarkEnd w:id="182"/>
    </w:p>
    <w:p>
      <w:pPr>
        <w:pStyle w:val="EndNoteBibliography"/>
        <w:spacing w:before="0" w:after="0"/>
        <w:ind w:left="720" w:hanging="720"/>
        <w:rPr/>
      </w:pPr>
      <w:bookmarkStart w:id="183" w:name="_ENREF_50"/>
      <w:r>
        <w:rPr/>
        <w:t>50.</w:t>
        <w:tab/>
        <w:t xml:space="preserve">Madej, M.G., et al., </w:t>
      </w:r>
      <w:r>
        <w:rPr>
          <w:i/>
        </w:rPr>
        <w:t>Evolutionary mix-and-match with MFS transporters.</w:t>
      </w:r>
      <w:r>
        <w:rPr/>
        <w:t xml:space="preserve"> Proceedings of the National Academy of Sciences, 2013. </w:t>
      </w:r>
      <w:r>
        <w:rPr>
          <w:b/>
        </w:rPr>
        <w:t>110</w:t>
      </w:r>
      <w:r>
        <w:rPr/>
        <w:t>(15): p. 5870-5874.</w:t>
      </w:r>
      <w:bookmarkEnd w:id="183"/>
    </w:p>
    <w:p>
      <w:pPr>
        <w:pStyle w:val="EndNoteBibliography"/>
        <w:spacing w:before="0" w:after="0"/>
        <w:ind w:left="720" w:hanging="720"/>
        <w:rPr/>
      </w:pPr>
      <w:bookmarkStart w:id="184" w:name="_ENREF_51"/>
      <w:r>
        <w:rPr/>
        <w:t>51.</w:t>
        <w:tab/>
        <w:t xml:space="preserve">Law, C.J., P.C. Maloney, and D.-N. Wang, </w:t>
      </w:r>
      <w:r>
        <w:rPr>
          <w:i/>
        </w:rPr>
        <w:t>Ins and outs of major facilitator superfamily antiporters.</w:t>
      </w:r>
      <w:r>
        <w:rPr/>
        <w:t xml:space="preserve"> Annual review of microbiology, 2008. </w:t>
      </w:r>
      <w:r>
        <w:rPr>
          <w:b/>
        </w:rPr>
        <w:t>62</w:t>
      </w:r>
      <w:r>
        <w:rPr/>
        <w:t>: p. 289.</w:t>
      </w:r>
      <w:bookmarkEnd w:id="184"/>
    </w:p>
    <w:p>
      <w:pPr>
        <w:pStyle w:val="EndNoteBibliography"/>
        <w:spacing w:before="0" w:after="0"/>
        <w:ind w:left="720" w:hanging="720"/>
        <w:rPr/>
      </w:pPr>
      <w:bookmarkStart w:id="185" w:name="_ENREF_52"/>
      <w:r>
        <w:rPr/>
        <w:t>52.</w:t>
        <w:tab/>
        <w:t xml:space="preserve">Marger, M.D. and M.H. Saier, </w:t>
      </w:r>
      <w:r>
        <w:rPr>
          <w:i/>
        </w:rPr>
        <w:t>A major superfamily of transmembrane facilitators that catalyse uniport, symport and antiport.</w:t>
      </w:r>
      <w:r>
        <w:rPr/>
        <w:t xml:space="preserve"> Trends in biochemical sciences, 1993. </w:t>
      </w:r>
      <w:r>
        <w:rPr>
          <w:b/>
        </w:rPr>
        <w:t>18</w:t>
      </w:r>
      <w:r>
        <w:rPr/>
        <w:t>(1): p. 13-20.</w:t>
      </w:r>
      <w:bookmarkEnd w:id="185"/>
    </w:p>
    <w:p>
      <w:pPr>
        <w:pStyle w:val="EndNoteBibliography"/>
        <w:spacing w:before="0" w:after="0"/>
        <w:ind w:left="720" w:hanging="720"/>
        <w:rPr/>
      </w:pPr>
      <w:bookmarkStart w:id="186" w:name="_ENREF_53"/>
      <w:r>
        <w:rPr/>
        <w:t>53.</w:t>
        <w:tab/>
        <w:t xml:space="preserve">Saier Jr, M.H., et al., </w:t>
      </w:r>
      <w:r>
        <w:rPr>
          <w:i/>
        </w:rPr>
        <w:t>The major facilitator superfamily.</w:t>
      </w:r>
      <w:r>
        <w:rPr/>
        <w:t xml:space="preserve"> J Mol Microbiol Biotechnol, 1999. </w:t>
      </w:r>
      <w:r>
        <w:rPr>
          <w:b/>
        </w:rPr>
        <w:t>1</w:t>
      </w:r>
      <w:r>
        <w:rPr/>
        <w:t>(2): p. 257-279.</w:t>
      </w:r>
      <w:bookmarkEnd w:id="186"/>
    </w:p>
    <w:p>
      <w:pPr>
        <w:pStyle w:val="EndNoteBibliography"/>
        <w:spacing w:before="0" w:after="0"/>
        <w:ind w:left="720" w:hanging="720"/>
        <w:rPr/>
      </w:pPr>
      <w:bookmarkStart w:id="187" w:name="_ENREF_54"/>
      <w:r>
        <w:rPr/>
        <w:t>54.</w:t>
        <w:tab/>
        <w:t xml:space="preserve">Lomovskaya, O. and K. Lewis, </w:t>
      </w:r>
      <w:r>
        <w:rPr>
          <w:i/>
        </w:rPr>
        <w:t>Emr, an Escherichia coli locus for multidrug resistance.</w:t>
      </w:r>
      <w:r>
        <w:rPr/>
        <w:t xml:space="preserve"> Proceedings of the National Academy of Sciences, 1992. </w:t>
      </w:r>
      <w:r>
        <w:rPr>
          <w:b/>
        </w:rPr>
        <w:t>89</w:t>
      </w:r>
      <w:r>
        <w:rPr/>
        <w:t>(19): p. 8938-8942.</w:t>
      </w:r>
      <w:bookmarkEnd w:id="187"/>
    </w:p>
    <w:p>
      <w:pPr>
        <w:pStyle w:val="EndNoteBibliography"/>
        <w:spacing w:before="0" w:after="0"/>
        <w:ind w:left="720" w:hanging="720"/>
        <w:rPr/>
      </w:pPr>
      <w:bookmarkStart w:id="188" w:name="_ENREF_55"/>
      <w:r>
        <w:rPr/>
        <w:t>55.</w:t>
        <w:tab/>
        <w:t xml:space="preserve">Lee, E.H. and W.M. Shafer, </w:t>
      </w:r>
      <w:r>
        <w:rPr>
          <w:i/>
        </w:rPr>
        <w:t>The farAB‐encoded efflux pump mediates resistance of gonococci to long‐chained antibacterial fatty acids.</w:t>
      </w:r>
      <w:r>
        <w:rPr/>
        <w:t xml:space="preserve"> Molecular microbiology, 1999. </w:t>
      </w:r>
      <w:r>
        <w:rPr>
          <w:b/>
        </w:rPr>
        <w:t>33</w:t>
      </w:r>
      <w:r>
        <w:rPr/>
        <w:t>(4): p. 839-845.</w:t>
      </w:r>
      <w:bookmarkEnd w:id="188"/>
    </w:p>
    <w:p>
      <w:pPr>
        <w:pStyle w:val="EndNoteBibliography"/>
        <w:spacing w:before="0" w:after="0"/>
        <w:ind w:left="720" w:hanging="720"/>
        <w:rPr/>
      </w:pPr>
      <w:bookmarkStart w:id="189" w:name="_ENREF_56"/>
      <w:r>
        <w:rPr/>
        <w:t>56.</w:t>
        <w:tab/>
        <w:t xml:space="preserve">Colmer, J.A., J.A. Fralick, and A.N. Hamood, </w:t>
      </w:r>
      <w:r>
        <w:rPr>
          <w:i/>
        </w:rPr>
        <w:t>Isolation and characterization of a putative multidrug resistance pump from Vibrio cholerae.</w:t>
      </w:r>
      <w:r>
        <w:rPr/>
        <w:t xml:space="preserve"> Molecular microbiology, 1998. </w:t>
      </w:r>
      <w:r>
        <w:rPr>
          <w:b/>
        </w:rPr>
        <w:t>27</w:t>
      </w:r>
      <w:r>
        <w:rPr/>
        <w:t>(1): p. 63-72.</w:t>
      </w:r>
      <w:bookmarkEnd w:id="189"/>
    </w:p>
    <w:p>
      <w:pPr>
        <w:pStyle w:val="EndNoteBibliography"/>
        <w:spacing w:before="0" w:after="0"/>
        <w:ind w:left="720" w:hanging="720"/>
        <w:rPr/>
      </w:pPr>
      <w:bookmarkStart w:id="190" w:name="_ENREF_57"/>
      <w:r>
        <w:rPr/>
        <w:t>57.</w:t>
        <w:tab/>
        <w:t xml:space="preserve">Yan, N., </w:t>
      </w:r>
      <w:r>
        <w:rPr>
          <w:i/>
        </w:rPr>
        <w:t>Structural advances for the major facilitator superfamily (MFS) transporters.</w:t>
      </w:r>
      <w:r>
        <w:rPr/>
        <w:t xml:space="preserve"> Trends in biochemical sciences, 2013. </w:t>
      </w:r>
      <w:r>
        <w:rPr>
          <w:b/>
        </w:rPr>
        <w:t>38</w:t>
      </w:r>
      <w:r>
        <w:rPr/>
        <w:t>(3): p. 151-159.</w:t>
      </w:r>
      <w:bookmarkEnd w:id="190"/>
    </w:p>
    <w:p>
      <w:pPr>
        <w:pStyle w:val="EndNoteBibliography"/>
        <w:spacing w:before="0" w:after="0"/>
        <w:ind w:left="720" w:hanging="720"/>
        <w:rPr/>
      </w:pPr>
      <w:bookmarkStart w:id="191" w:name="_ENREF_58"/>
      <w:r>
        <w:rPr/>
        <w:t>58.</w:t>
        <w:tab/>
        <w:t xml:space="preserve">Abramson, J., et al., </w:t>
      </w:r>
      <w:r>
        <w:rPr>
          <w:i/>
        </w:rPr>
        <w:t>Structure and mechanism of the lactose permease of Escherichia coli.</w:t>
      </w:r>
      <w:r>
        <w:rPr/>
        <w:t xml:space="preserve"> Science, 2003. </w:t>
      </w:r>
      <w:r>
        <w:rPr>
          <w:b/>
        </w:rPr>
        <w:t>301</w:t>
      </w:r>
      <w:r>
        <w:rPr/>
        <w:t>(5633): p. 610-615.</w:t>
      </w:r>
      <w:bookmarkEnd w:id="191"/>
    </w:p>
    <w:p>
      <w:pPr>
        <w:pStyle w:val="EndNoteBibliography"/>
        <w:spacing w:before="0" w:after="0"/>
        <w:ind w:left="720" w:hanging="720"/>
        <w:rPr/>
      </w:pPr>
      <w:bookmarkStart w:id="192" w:name="_ENREF_59"/>
      <w:r>
        <w:rPr/>
        <w:t>59.</w:t>
        <w:tab/>
        <w:t xml:space="preserve">Huang, Y., et al., </w:t>
      </w:r>
      <w:r>
        <w:rPr>
          <w:i/>
        </w:rPr>
        <w:t>Structure and mechanism of the glycerol-3-phosphate transporter from Escherichia coli.</w:t>
      </w:r>
      <w:r>
        <w:rPr/>
        <w:t xml:space="preserve"> Science, 2003. </w:t>
      </w:r>
      <w:r>
        <w:rPr>
          <w:b/>
        </w:rPr>
        <w:t>301</w:t>
      </w:r>
      <w:r>
        <w:rPr/>
        <w:t>(5633): p. 616-620.</w:t>
      </w:r>
      <w:bookmarkEnd w:id="192"/>
    </w:p>
    <w:p>
      <w:pPr>
        <w:pStyle w:val="EndNoteBibliography"/>
        <w:spacing w:before="0" w:after="0"/>
        <w:ind w:left="720" w:hanging="720"/>
        <w:rPr/>
      </w:pPr>
      <w:bookmarkStart w:id="193" w:name="_ENREF_60"/>
      <w:r>
        <w:rPr/>
        <w:t>60.</w:t>
        <w:tab/>
        <w:t xml:space="preserve">Yin, Y., et al., </w:t>
      </w:r>
      <w:r>
        <w:rPr>
          <w:i/>
        </w:rPr>
        <w:t>Structure of the multidrug transporter EmrD from Escherichia coli.</w:t>
      </w:r>
      <w:r>
        <w:rPr/>
        <w:t xml:space="preserve"> Science, 2006. </w:t>
      </w:r>
      <w:r>
        <w:rPr>
          <w:b/>
        </w:rPr>
        <w:t>312</w:t>
      </w:r>
      <w:r>
        <w:rPr/>
        <w:t>(5774): p. 741-744.</w:t>
      </w:r>
      <w:bookmarkEnd w:id="193"/>
    </w:p>
    <w:p>
      <w:pPr>
        <w:pStyle w:val="EndNoteBibliography"/>
        <w:spacing w:before="0" w:after="0"/>
        <w:ind w:left="720" w:hanging="720"/>
        <w:rPr/>
      </w:pPr>
      <w:bookmarkStart w:id="194" w:name="_ENREF_61"/>
      <w:r>
        <w:rPr/>
        <w:t>61.</w:t>
        <w:tab/>
        <w:t xml:space="preserve">Dang, S., et al., </w:t>
      </w:r>
      <w:r>
        <w:rPr>
          <w:i/>
        </w:rPr>
        <w:t>Structure of a fucose transporter in an outward-open conformation.</w:t>
      </w:r>
      <w:r>
        <w:rPr/>
        <w:t xml:space="preserve"> Nature, 2010. </w:t>
      </w:r>
      <w:r>
        <w:rPr>
          <w:b/>
        </w:rPr>
        <w:t>467</w:t>
      </w:r>
      <w:r>
        <w:rPr/>
        <w:t>(7316): p. 734-738.</w:t>
      </w:r>
      <w:bookmarkEnd w:id="194"/>
    </w:p>
    <w:p>
      <w:pPr>
        <w:pStyle w:val="EndNoteBibliography"/>
        <w:spacing w:before="0" w:after="0"/>
        <w:ind w:left="720" w:hanging="720"/>
        <w:rPr/>
      </w:pPr>
      <w:bookmarkStart w:id="195" w:name="_ENREF_62"/>
      <w:r>
        <w:rPr/>
        <w:t>62.</w:t>
        <w:tab/>
        <w:t xml:space="preserve">Newstead, S., et al., </w:t>
      </w:r>
      <w:r>
        <w:rPr>
          <w:i/>
        </w:rPr>
        <w:t>Crystal structure of a prokaryotic homologue of the mammalian oligopeptide–proton symporters, PepT1 and PepT2.</w:t>
      </w:r>
      <w:r>
        <w:rPr/>
        <w:t xml:space="preserve"> The EMBO journal, 2011. </w:t>
      </w:r>
      <w:r>
        <w:rPr>
          <w:b/>
        </w:rPr>
        <w:t>30</w:t>
      </w:r>
      <w:r>
        <w:rPr/>
        <w:t>(2): p. 417-426.</w:t>
      </w:r>
      <w:bookmarkEnd w:id="195"/>
    </w:p>
    <w:p>
      <w:pPr>
        <w:pStyle w:val="EndNoteBibliography"/>
        <w:spacing w:before="0" w:after="0"/>
        <w:ind w:left="720" w:hanging="720"/>
        <w:rPr/>
      </w:pPr>
      <w:bookmarkStart w:id="196" w:name="_ENREF_63"/>
      <w:r>
        <w:rPr/>
        <w:t>63.</w:t>
        <w:tab/>
        <w:t xml:space="preserve">Solcan, N., et al., </w:t>
      </w:r>
      <w:r>
        <w:rPr>
          <w:i/>
        </w:rPr>
        <w:t>Alternating access mechanism in the POT family of oligopeptide transporters.</w:t>
      </w:r>
      <w:r>
        <w:rPr/>
        <w:t xml:space="preserve"> The EMBO journal, 2012. </w:t>
      </w:r>
      <w:r>
        <w:rPr>
          <w:b/>
        </w:rPr>
        <w:t>31</w:t>
      </w:r>
      <w:r>
        <w:rPr/>
        <w:t>(16): p. 3411-3421.</w:t>
      </w:r>
      <w:bookmarkEnd w:id="196"/>
    </w:p>
    <w:p>
      <w:pPr>
        <w:pStyle w:val="EndNoteBibliography"/>
        <w:spacing w:before="0" w:after="0"/>
        <w:ind w:left="720" w:hanging="720"/>
        <w:rPr/>
      </w:pPr>
      <w:bookmarkStart w:id="197" w:name="_ENREF_64"/>
      <w:r>
        <w:rPr/>
        <w:t>64.</w:t>
        <w:tab/>
        <w:t xml:space="preserve">Sun, L., et al., </w:t>
      </w:r>
      <w:r>
        <w:rPr>
          <w:i/>
        </w:rPr>
        <w:t>Crystal structure of a bacterial homologue of glucose transporters GLUT1-4.</w:t>
      </w:r>
      <w:r>
        <w:rPr/>
        <w:t xml:space="preserve"> Nature, 2012. </w:t>
      </w:r>
      <w:r>
        <w:rPr>
          <w:b/>
        </w:rPr>
        <w:t>490</w:t>
      </w:r>
      <w:r>
        <w:rPr/>
        <w:t>(7420): p. 361-366.</w:t>
      </w:r>
      <w:bookmarkEnd w:id="197"/>
    </w:p>
    <w:p>
      <w:pPr>
        <w:pStyle w:val="EndNoteBibliography"/>
        <w:spacing w:before="0" w:after="0"/>
        <w:ind w:left="720" w:hanging="720"/>
        <w:rPr/>
      </w:pPr>
      <w:bookmarkStart w:id="198" w:name="_ENREF_65"/>
      <w:r>
        <w:rPr/>
        <w:t>65.</w:t>
        <w:tab/>
        <w:t xml:space="preserve">Kumar, S., et al., </w:t>
      </w:r>
      <w:r>
        <w:rPr>
          <w:i/>
        </w:rPr>
        <w:t>Bacterial antimicrobial efflux pumps of the MFS and MATE transporter families: A review.</w:t>
      </w:r>
      <w:r>
        <w:rPr/>
        <w:t xml:space="preserve"> Recent Research Developments in Antimicrobial Agents &amp; Chemotherapy, 2013: p. 1-21.</w:t>
      </w:r>
      <w:bookmarkEnd w:id="198"/>
    </w:p>
    <w:p>
      <w:pPr>
        <w:pStyle w:val="EndNoteBibliography"/>
        <w:spacing w:before="0" w:after="0"/>
        <w:ind w:left="720" w:hanging="720"/>
        <w:rPr/>
      </w:pPr>
      <w:bookmarkStart w:id="199" w:name="_ENREF_66"/>
      <w:r>
        <w:rPr/>
        <w:t>66.</w:t>
        <w:tab/>
        <w:t xml:space="preserve">Bay, D.C., K.L. Rommens, and R.J. Turner, </w:t>
      </w:r>
      <w:r>
        <w:rPr>
          <w:i/>
        </w:rPr>
        <w:t>Small multidrug resistance proteins: a multidrug transporter family that continues to grow.</w:t>
      </w:r>
      <w:r>
        <w:rPr/>
        <w:t xml:space="preserve"> Biochimica et Biophysica Acta (BBA)-Biomembranes, 2008. </w:t>
      </w:r>
      <w:r>
        <w:rPr>
          <w:b/>
        </w:rPr>
        <w:t>1778</w:t>
      </w:r>
      <w:r>
        <w:rPr/>
        <w:t>(9): p. 1814-1838.</w:t>
      </w:r>
      <w:bookmarkEnd w:id="199"/>
    </w:p>
    <w:p>
      <w:pPr>
        <w:pStyle w:val="EndNoteBibliography"/>
        <w:spacing w:before="0" w:after="0"/>
        <w:ind w:left="720" w:hanging="720"/>
        <w:rPr/>
      </w:pPr>
      <w:bookmarkStart w:id="200" w:name="_ENREF_67"/>
      <w:r>
        <w:rPr/>
        <w:t>67.</w:t>
        <w:tab/>
        <w:t xml:space="preserve">Kolbusz, M.A., et al., </w:t>
      </w:r>
      <w:r>
        <w:rPr>
          <w:i/>
        </w:rPr>
        <w:t>Orientation of small multidrug resistance transporter subunits in the membrane: correlation with the positive-inside rule.</w:t>
      </w:r>
      <w:r>
        <w:rPr/>
        <w:t xml:space="preserve"> Journal of molecular biology, 2010. </w:t>
      </w:r>
      <w:r>
        <w:rPr>
          <w:b/>
        </w:rPr>
        <w:t>402</w:t>
      </w:r>
      <w:r>
        <w:rPr/>
        <w:t>(1): p. 127-138.</w:t>
      </w:r>
      <w:bookmarkEnd w:id="200"/>
    </w:p>
    <w:p>
      <w:pPr>
        <w:pStyle w:val="EndNoteBibliography"/>
        <w:spacing w:before="0" w:after="0"/>
        <w:ind w:left="720" w:hanging="720"/>
        <w:rPr/>
      </w:pPr>
      <w:bookmarkStart w:id="201" w:name="_ENREF_68"/>
      <w:r>
        <w:rPr/>
        <w:t>68.</w:t>
        <w:tab/>
        <w:t xml:space="preserve">Omote, H., et al., </w:t>
      </w:r>
      <w:r>
        <w:rPr>
          <w:i/>
        </w:rPr>
        <w:t>The MATE proteins as fundamental transporters of metabolic and xenobiotic organic cations.</w:t>
      </w:r>
      <w:r>
        <w:rPr/>
        <w:t xml:space="preserve"> Trends in Pharmacological Sciences, 2006. </w:t>
      </w:r>
      <w:r>
        <w:rPr>
          <w:b/>
        </w:rPr>
        <w:t>27</w:t>
      </w:r>
      <w:r>
        <w:rPr/>
        <w:t>(11): p. 587-593.</w:t>
      </w:r>
      <w:bookmarkEnd w:id="201"/>
    </w:p>
    <w:p>
      <w:pPr>
        <w:pStyle w:val="EndNoteBibliography"/>
        <w:spacing w:before="0" w:after="0"/>
        <w:ind w:left="720" w:hanging="720"/>
        <w:rPr/>
      </w:pPr>
      <w:bookmarkStart w:id="202" w:name="_ENREF_69"/>
      <w:r>
        <w:rPr/>
        <w:t>69.</w:t>
        <w:tab/>
        <w:t xml:space="preserve">Alvarez-Ortega, C., J. Olivares, and J.L. Martínez, </w:t>
      </w:r>
      <w:r>
        <w:rPr>
          <w:i/>
        </w:rPr>
        <w:t>RND multidrug efflux pumps: what are they good for?</w:t>
      </w:r>
      <w:r>
        <w:rPr/>
        <w:t xml:space="preserve"> Frontiers in microbiology, 2013. </w:t>
      </w:r>
      <w:r>
        <w:rPr>
          <w:b/>
        </w:rPr>
        <w:t>4</w:t>
      </w:r>
      <w:r>
        <w:rPr/>
        <w:t>.</w:t>
      </w:r>
      <w:bookmarkEnd w:id="202"/>
    </w:p>
    <w:p>
      <w:pPr>
        <w:pStyle w:val="EndNoteBibliography"/>
        <w:spacing w:before="0" w:after="0"/>
        <w:ind w:left="720" w:hanging="720"/>
        <w:rPr/>
      </w:pPr>
      <w:bookmarkStart w:id="203" w:name="_ENREF_70"/>
      <w:r>
        <w:rPr/>
        <w:t>70.</w:t>
        <w:tab/>
        <w:t xml:space="preserve">Fernando, D.M. and A. Kumar, </w:t>
      </w:r>
      <w:r>
        <w:rPr>
          <w:i/>
        </w:rPr>
        <w:t>Resistance-nodulation-division multidrug efflux pumps in gram-negative bacteria: role in virulence.</w:t>
      </w:r>
      <w:r>
        <w:rPr/>
        <w:t xml:space="preserve"> Antibiotics, 2013. </w:t>
      </w:r>
      <w:r>
        <w:rPr>
          <w:b/>
        </w:rPr>
        <w:t>2</w:t>
      </w:r>
      <w:r>
        <w:rPr/>
        <w:t>(1): p. 163-181.</w:t>
      </w:r>
      <w:bookmarkEnd w:id="203"/>
    </w:p>
    <w:p>
      <w:pPr>
        <w:pStyle w:val="EndNoteBibliography"/>
        <w:spacing w:before="0" w:after="0"/>
        <w:ind w:left="720" w:hanging="720"/>
        <w:rPr/>
      </w:pPr>
      <w:bookmarkStart w:id="204" w:name="_ENREF_71"/>
      <w:r>
        <w:rPr/>
        <w:t>71.</w:t>
        <w:tab/>
        <w:t xml:space="preserve">Li, X.-Z., K. Poole, and H. Nikaido, </w:t>
      </w:r>
      <w:r>
        <w:rPr>
          <w:i/>
        </w:rPr>
        <w:t>Contributions of MexAB-OprM and an EmrE homolog to intrinsic resistance of Pseudomonas aeruginosa to aminoglycosides and dyes.</w:t>
      </w:r>
      <w:r>
        <w:rPr/>
        <w:t xml:space="preserve"> Antimicrobial agents and chemotherapy, 2003. </w:t>
      </w:r>
      <w:r>
        <w:rPr>
          <w:b/>
        </w:rPr>
        <w:t>47</w:t>
      </w:r>
      <w:r>
        <w:rPr/>
        <w:t>(1): p. 27-33.</w:t>
      </w:r>
      <w:bookmarkEnd w:id="204"/>
    </w:p>
    <w:p>
      <w:pPr>
        <w:pStyle w:val="EndNoteBibliography"/>
        <w:spacing w:before="0" w:after="0"/>
        <w:ind w:left="720" w:hanging="720"/>
        <w:rPr/>
      </w:pPr>
      <w:bookmarkStart w:id="205" w:name="_ENREF_72"/>
      <w:r>
        <w:rPr/>
        <w:t>72.</w:t>
        <w:tab/>
        <w:t xml:space="preserve">Davidson, A.L. and J. Chen, </w:t>
      </w:r>
      <w:r>
        <w:rPr>
          <w:i/>
        </w:rPr>
        <w:t>ATP-binding cassette transporters in bacteria.</w:t>
      </w:r>
      <w:r>
        <w:rPr/>
        <w:t xml:space="preserve"> Annual review of biochemistry, 2004. </w:t>
      </w:r>
      <w:r>
        <w:rPr>
          <w:b/>
        </w:rPr>
        <w:t>73</w:t>
      </w:r>
      <w:r>
        <w:rPr/>
        <w:t>(1): p. 241-268.</w:t>
      </w:r>
      <w:bookmarkEnd w:id="205"/>
    </w:p>
    <w:p>
      <w:pPr>
        <w:pStyle w:val="EndNoteBibliography"/>
        <w:spacing w:before="0" w:after="0"/>
        <w:ind w:left="720" w:hanging="720"/>
        <w:rPr/>
      </w:pPr>
      <w:bookmarkStart w:id="206" w:name="_ENREF_73"/>
      <w:r>
        <w:rPr/>
        <w:t>73.</w:t>
        <w:tab/>
        <w:t xml:space="preserve">Kumar, A. and H.P. Schweizer, </w:t>
      </w:r>
      <w:r>
        <w:rPr>
          <w:i/>
        </w:rPr>
        <w:t>Bacterial resistance to antibiotics: active efflux and reduced uptake.</w:t>
      </w:r>
      <w:r>
        <w:rPr/>
        <w:t xml:space="preserve"> Advanced drug delivery reviews, 2005. </w:t>
      </w:r>
      <w:r>
        <w:rPr>
          <w:b/>
        </w:rPr>
        <w:t>57</w:t>
      </w:r>
      <w:r>
        <w:rPr/>
        <w:t>(10): p. 1486-1513.</w:t>
      </w:r>
      <w:bookmarkEnd w:id="206"/>
    </w:p>
    <w:p>
      <w:pPr>
        <w:pStyle w:val="EndNoteBibliography"/>
        <w:spacing w:before="0" w:after="0"/>
        <w:ind w:left="720" w:hanging="720"/>
        <w:rPr/>
      </w:pPr>
      <w:bookmarkStart w:id="207" w:name="_ENREF_74"/>
      <w:r>
        <w:rPr/>
        <w:t>74.</w:t>
        <w:tab/>
        <w:t xml:space="preserve">Davidson, A.L. and P.C. Maloney, </w:t>
      </w:r>
      <w:r>
        <w:rPr>
          <w:i/>
        </w:rPr>
        <w:t>ABC transporters: how small machines do a big job.</w:t>
      </w:r>
      <w:r>
        <w:rPr/>
        <w:t xml:space="preserve"> Trends in microbiology, 2007. </w:t>
      </w:r>
      <w:r>
        <w:rPr>
          <w:b/>
        </w:rPr>
        <w:t>15</w:t>
      </w:r>
      <w:r>
        <w:rPr/>
        <w:t>(10): p. 448-455.</w:t>
      </w:r>
      <w:bookmarkEnd w:id="207"/>
    </w:p>
    <w:p>
      <w:pPr>
        <w:pStyle w:val="EndNoteBibliography"/>
        <w:spacing w:before="0" w:after="0"/>
        <w:ind w:left="720" w:hanging="720"/>
        <w:rPr/>
      </w:pPr>
      <w:bookmarkStart w:id="208" w:name="_ENREF_75"/>
      <w:r>
        <w:rPr/>
        <w:t>75.</w:t>
        <w:tab/>
        <w:t xml:space="preserve">Golin, J., et al., </w:t>
      </w:r>
      <w:r>
        <w:rPr>
          <w:i/>
        </w:rPr>
        <w:t>Studies with novel Pdr5p substrates demonstrate a strong size dependence for xenobiotic efflux.</w:t>
      </w:r>
      <w:r>
        <w:rPr/>
        <w:t xml:space="preserve"> Journal of Biological Chemistry, 2003. </w:t>
      </w:r>
      <w:r>
        <w:rPr>
          <w:b/>
        </w:rPr>
        <w:t>278</w:t>
      </w:r>
      <w:r>
        <w:rPr/>
        <w:t>(8): p. 5963-5969.</w:t>
      </w:r>
      <w:bookmarkEnd w:id="208"/>
    </w:p>
    <w:p>
      <w:pPr>
        <w:pStyle w:val="EndNoteBibliography"/>
        <w:spacing w:before="0" w:after="0"/>
        <w:ind w:left="720" w:hanging="720"/>
        <w:rPr/>
      </w:pPr>
      <w:bookmarkStart w:id="209" w:name="_ENREF_76"/>
      <w:r>
        <w:rPr/>
        <w:t>76.</w:t>
        <w:tab/>
        <w:t xml:space="preserve">Altschul, S.F., et al., </w:t>
      </w:r>
      <w:r>
        <w:rPr>
          <w:i/>
        </w:rPr>
        <w:t>Gapped BLAST and PSI-BLAST: a new generation of protein database search programs.</w:t>
      </w:r>
      <w:r>
        <w:rPr/>
        <w:t xml:space="preserve"> Nucleic acids research, 1997. </w:t>
      </w:r>
      <w:r>
        <w:rPr>
          <w:b/>
        </w:rPr>
        <w:t>25</w:t>
      </w:r>
      <w:r>
        <w:rPr/>
        <w:t>(17): p. 3389-3402.</w:t>
      </w:r>
      <w:bookmarkEnd w:id="209"/>
    </w:p>
    <w:p>
      <w:pPr>
        <w:pStyle w:val="EndNoteBibliography"/>
        <w:spacing w:before="0" w:after="0"/>
        <w:ind w:left="720" w:hanging="720"/>
        <w:rPr/>
      </w:pPr>
      <w:bookmarkStart w:id="210" w:name="_ENREF_77"/>
      <w:r>
        <w:rPr/>
        <w:t>77.</w:t>
        <w:tab/>
      </w:r>
      <w:r>
        <w:rPr/>
        <w:t xml:space="preserve">富井健太郎 </w:t>
      </w:r>
      <w:r>
        <w:rPr/>
        <w:t xml:space="preserve">and </w:t>
      </w:r>
      <w:r>
        <w:rPr/>
        <w:t>金久實</w:t>
      </w:r>
      <w:r>
        <w:rPr/>
        <w:t xml:space="preserve">, </w:t>
      </w:r>
      <w:r>
        <w:rPr>
          <w:i/>
        </w:rPr>
        <w:t>AAindex: A Database of Amino Acid Indices and Mutation Matrices.</w:t>
      </w:r>
      <w:r>
        <w:rPr/>
        <w:t xml:space="preserve"> Genome Informatics, 1995. </w:t>
      </w:r>
      <w:r>
        <w:rPr>
          <w:b/>
        </w:rPr>
        <w:t>6</w:t>
      </w:r>
      <w:r>
        <w:rPr/>
        <w:t>: p. 142-143.</w:t>
      </w:r>
      <w:bookmarkEnd w:id="210"/>
    </w:p>
    <w:p>
      <w:pPr>
        <w:pStyle w:val="EndNoteBibliography"/>
        <w:spacing w:before="0" w:after="0"/>
        <w:ind w:left="720" w:hanging="720"/>
        <w:rPr/>
      </w:pPr>
      <w:bookmarkStart w:id="211" w:name="_ENREF_78"/>
      <w:r>
        <w:rPr/>
        <w:t>78.</w:t>
        <w:tab/>
        <w:t xml:space="preserve">Tang, J., S. Alelyani, and H. Liu, </w:t>
      </w:r>
      <w:r>
        <w:rPr>
          <w:i/>
        </w:rPr>
        <w:t>Feature selection for classification: A review.</w:t>
      </w:r>
      <w:r>
        <w:rPr/>
        <w:t xml:space="preserve"> Data Classification: Algorithms and Applications, 2014: p. 37.</w:t>
      </w:r>
      <w:bookmarkEnd w:id="211"/>
    </w:p>
    <w:p>
      <w:pPr>
        <w:pStyle w:val="EndNoteBibliography"/>
        <w:spacing w:before="0" w:after="0"/>
        <w:ind w:left="720" w:hanging="720"/>
        <w:rPr/>
      </w:pPr>
      <w:bookmarkStart w:id="212" w:name="_ENREF_79"/>
      <w:r>
        <w:rPr/>
        <w:t>79.</w:t>
        <w:tab/>
        <w:t xml:space="preserve">Ou, Y., </w:t>
      </w:r>
      <w:r>
        <w:rPr>
          <w:i/>
        </w:rPr>
        <w:t>QuickRBF: a package for efficient radial basis function networks.</w:t>
      </w:r>
      <w:r>
        <w:rPr/>
        <w:t xml:space="preserve"> Software available at </w:t>
      </w:r>
      <w:hyperlink r:id="rId34">
        <w:r>
          <w:rPr>
            <w:rStyle w:val="InternetLink"/>
          </w:rPr>
          <w:t>https://www.csie.ntu.edu.tw/~yien/quickrbf/</w:t>
        </w:r>
      </w:hyperlink>
      <w:r>
        <w:rPr/>
        <w:t>, 2005.</w:t>
      </w:r>
      <w:bookmarkEnd w:id="212"/>
    </w:p>
    <w:p>
      <w:pPr>
        <w:pStyle w:val="EndNoteBibliography"/>
        <w:spacing w:before="0" w:after="0"/>
        <w:ind w:left="720" w:hanging="720"/>
        <w:rPr/>
      </w:pPr>
      <w:bookmarkStart w:id="213" w:name="_ENREF_80"/>
      <w:r>
        <w:rPr/>
        <w:t>80.</w:t>
        <w:tab/>
        <w:t xml:space="preserve">Chang, C.-C. and C.-J. Lin, </w:t>
      </w:r>
      <w:r>
        <w:rPr>
          <w:i/>
        </w:rPr>
        <w:t>LIBSVM: a library for support vector machines.</w:t>
      </w:r>
      <w:r>
        <w:rPr/>
        <w:t xml:space="preserve"> ACM Transactions on Intelligent Systems and Technology (TIST), 2011. </w:t>
      </w:r>
      <w:r>
        <w:rPr>
          <w:b/>
        </w:rPr>
        <w:t>2</w:t>
      </w:r>
      <w:r>
        <w:rPr/>
        <w:t>(3): p. 27.</w:t>
      </w:r>
      <w:bookmarkEnd w:id="213"/>
    </w:p>
    <w:p>
      <w:pPr>
        <w:pStyle w:val="EndNoteBibliography"/>
        <w:spacing w:before="0" w:after="0"/>
        <w:ind w:left="720" w:hanging="720"/>
        <w:rPr/>
      </w:pPr>
      <w:bookmarkStart w:id="214" w:name="_ENREF_81"/>
      <w:r>
        <w:rPr/>
        <w:t>81.</w:t>
        <w:tab/>
        <w:t xml:space="preserve">Holmes, G., A. Donkin, and I.H. Witten. </w:t>
      </w:r>
      <w:r>
        <w:rPr>
          <w:i/>
        </w:rPr>
        <w:t>Weka: A machine learning workbench</w:t>
      </w:r>
      <w:r>
        <w:rPr/>
        <w:t xml:space="preserve">. in </w:t>
      </w:r>
      <w:r>
        <w:rPr>
          <w:i/>
        </w:rPr>
        <w:t>Intelligent Information Systems, 1994. Proceedings of the 1994 Second Australian and New Zealand Conference on</w:t>
      </w:r>
      <w:r>
        <w:rPr/>
        <w:t>. 1994. IEEE.</w:t>
      </w:r>
      <w:bookmarkEnd w:id="214"/>
    </w:p>
    <w:p>
      <w:pPr>
        <w:pStyle w:val="EndNoteBibliography"/>
        <w:spacing w:before="0" w:after="0"/>
        <w:ind w:left="720" w:hanging="720"/>
        <w:rPr/>
      </w:pPr>
      <w:bookmarkStart w:id="215" w:name="_ENREF_82"/>
      <w:r>
        <w:rPr/>
        <w:t>82.</w:t>
        <w:tab/>
        <w:t xml:space="preserve">Du, K.-L. and M. Swamy, </w:t>
      </w:r>
      <w:r>
        <w:rPr>
          <w:i/>
        </w:rPr>
        <w:t>Radial basis function networks</w:t>
      </w:r>
      <w:r>
        <w:rPr/>
        <w:t xml:space="preserve">, in </w:t>
      </w:r>
      <w:r>
        <w:rPr>
          <w:i/>
        </w:rPr>
        <w:t>Neural Networks and Statistical Learning</w:t>
      </w:r>
      <w:r>
        <w:rPr/>
        <w:t>. 2014, Springer. p. 299-335.</w:t>
      </w:r>
      <w:bookmarkEnd w:id="215"/>
    </w:p>
    <w:p>
      <w:pPr>
        <w:pStyle w:val="EndNoteBibliography"/>
        <w:spacing w:before="0" w:after="0"/>
        <w:ind w:left="720" w:hanging="720"/>
        <w:rPr/>
      </w:pPr>
      <w:bookmarkStart w:id="216" w:name="_ENREF_83"/>
      <w:r>
        <w:rPr/>
        <w:t>83.</w:t>
        <w:tab/>
        <w:t xml:space="preserve">Ou, Y.-Y., Y.-J. Oyang, and C.-Y. Chen. </w:t>
      </w:r>
      <w:r>
        <w:rPr>
          <w:i/>
        </w:rPr>
        <w:t>A novel radial basis function network classifier with centers set by hierarchical clustering</w:t>
      </w:r>
      <w:r>
        <w:rPr/>
        <w:t xml:space="preserve">. in </w:t>
      </w:r>
      <w:r>
        <w:rPr>
          <w:i/>
        </w:rPr>
        <w:t>Neural Networks, 2005. IJCNN'05. Proceedings. 2005 IEEE International Joint Conference on</w:t>
      </w:r>
      <w:r>
        <w:rPr/>
        <w:t>. 2005. IEEE.</w:t>
      </w:r>
      <w:bookmarkEnd w:id="216"/>
    </w:p>
    <w:p>
      <w:pPr>
        <w:pStyle w:val="EndNoteBibliography"/>
        <w:spacing w:before="0" w:after="0"/>
        <w:ind w:left="720" w:hanging="720"/>
        <w:rPr/>
      </w:pPr>
      <w:bookmarkStart w:id="217" w:name="_ENREF_84"/>
      <w:r>
        <w:rPr/>
        <w:t>84.</w:t>
        <w:tab/>
        <w:t xml:space="preserve">BLAST, G., </w:t>
      </w:r>
      <w:r>
        <w:rPr>
          <w:i/>
        </w:rPr>
        <w:t>PSI-BLAST: a new generation of protein database search programs Altschul.</w:t>
      </w:r>
      <w:r>
        <w:rPr/>
        <w:t xml:space="preserve"> Stephen F: p. 3389-3402.</w:t>
      </w:r>
      <w:bookmarkEnd w:id="217"/>
    </w:p>
    <w:p>
      <w:pPr>
        <w:pStyle w:val="EndNoteBibliography"/>
        <w:ind w:left="720" w:hanging="720"/>
        <w:rPr/>
      </w:pPr>
      <w:bookmarkStart w:id="218" w:name="_ENREF_85"/>
      <w:r>
        <w:rPr/>
        <w:t>85.</w:t>
        <w:tab/>
        <w:t xml:space="preserve">Consortium, U., </w:t>
      </w:r>
      <w:r>
        <w:rPr>
          <w:i/>
        </w:rPr>
        <w:t>The universal protein resource (UniProt) in 2010.</w:t>
      </w:r>
      <w:r>
        <w:rPr/>
        <w:t xml:space="preserve"> Nucleic acids research, 2010. </w:t>
      </w:r>
      <w:r>
        <w:rPr>
          <w:b/>
        </w:rPr>
        <w:t>38</w:t>
      </w:r>
      <w:r>
        <w:rPr/>
        <w:t>(suppl 1): p. D142-D148.</w:t>
      </w:r>
      <w:bookmarkEnd w:id="218"/>
    </w:p>
    <w:p>
      <w:pPr>
        <w:pStyle w:val="EndNoteBibliography"/>
        <w:spacing w:before="0" w:after="200"/>
        <w:ind w:left="720" w:hanging="720"/>
        <w:rPr/>
      </w:pPr>
      <w:r>
        <w:rPr/>
      </w:r>
    </w:p>
    <w:sectPr>
      <w:headerReference w:type="default" r:id="rId35"/>
      <w:footerReference w:type="default" r:id="rId36"/>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Segoe UI">
    <w:charset w:val="00"/>
    <w:family w:val="roman"/>
    <w:pitch w:val="variable"/>
  </w:font>
  <w:font w:name="Liberation Sans">
    <w:altName w:val="Arial"/>
    <w:charset w:val="00"/>
    <w:family w:val="swiss"/>
    <w:pitch w:val="variable"/>
  </w:font>
  <w:font w:name="DFKai-SB">
    <w:charset w:val="00"/>
    <w:family w:val="roman"/>
    <w:pitch w:val="variable"/>
  </w:font>
  <w:font w:name="Times New Roman">
    <w:charset w:val="00"/>
    <w:family w:val="auto"/>
    <w:pitch w:val="default"/>
  </w:font>
  <w:font w:name="alianza_slab_400400">
    <w:charset w:val="00"/>
    <w:family w:val="roman"/>
    <w:pitch w:val="variable"/>
  </w:font>
  <w:font w:name="Verdan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77003416"/>
    </w:sdtPr>
    <w:sdtContent>
      <w:p>
        <w:pPr>
          <w:pStyle w:val="Footer"/>
          <w:jc w:val="center"/>
          <w:rPr/>
        </w:pPr>
        <w:r>
          <w:rPr>
            <w:rFonts w:cs="Times New Roman"/>
            <w:szCs w:val="24"/>
          </w:rPr>
          <w:fldChar w:fldCharType="begin"/>
        </w:r>
        <w:r>
          <w:rPr>
            <w:szCs w:val="24"/>
            <w:rFonts w:cs="Times New Roman"/>
          </w:rPr>
          <w:instrText> PAGE </w:instrText>
        </w:r>
        <w:r>
          <w:rPr>
            <w:szCs w:val="24"/>
            <w:rFonts w:cs="Times New Roman"/>
          </w:rPr>
          <w:fldChar w:fldCharType="separate"/>
        </w:r>
        <w:r>
          <w:rPr>
            <w:szCs w:val="24"/>
            <w:rFonts w:cs="Times New Roman"/>
          </w:rPr>
          <w:t>x</w:t>
        </w:r>
        <w:r>
          <w:rPr>
            <w:szCs w:val="24"/>
            <w:rFonts w:cs="Times New Roman"/>
          </w:rPr>
          <w:fldChar w:fldCharType="end"/>
        </w:r>
      </w:p>
    </w:sdtContent>
  </w:sdt>
  <w:p>
    <w:pPr>
      <w:pStyle w:val="Footer"/>
      <w:rPr>
        <w:rFonts w:cs="Times New Roman"/>
        <w:szCs w:val="24"/>
      </w:rPr>
    </w:pPr>
    <w:r>
      <w:rPr>
        <w:rFonts w:cs="Times New Roman"/>
        <w:szCs w:val="2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13775132"/>
    </w:sdtPr>
    <w:sdtContent>
      <w:p>
        <w:pPr>
          <w:pStyle w:val="Footer"/>
          <w:jc w:val="center"/>
          <w:rPr/>
        </w:pPr>
        <w:r>
          <w:rPr/>
          <w:fldChar w:fldCharType="begin"/>
        </w:r>
        <w:r>
          <w:rPr/>
          <w:instrText> PAGE </w:instrText>
        </w:r>
        <w:r>
          <w:rPr/>
          <w:fldChar w:fldCharType="separate"/>
        </w:r>
        <w:r>
          <w:rPr/>
          <w:t>38</w:t>
        </w:r>
        <w:r>
          <w:rPr/>
          <w:fldChar w:fldCharType="end"/>
        </w:r>
      </w:p>
      <w:p>
        <w:pPr>
          <w:pStyle w:val="Footer"/>
          <w:rPr>
            <w:rFonts w:cs="Times New Roman"/>
            <w:szCs w:val="24"/>
          </w:rPr>
        </w:pPr>
        <w:r>
          <w:rPr>
            <w:rFonts w:cs="Times New Roman"/>
            <w:szCs w:val="24"/>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114300" distR="114300" simplePos="0" locked="0" layoutInCell="1" allowOverlap="1" relativeHeight="10">
          <wp:simplePos x="0" y="0"/>
          <wp:positionH relativeFrom="margin">
            <wp:align>center</wp:align>
          </wp:positionH>
          <wp:positionV relativeFrom="margin">
            <wp:align>center</wp:align>
          </wp:positionV>
          <wp:extent cx="1828800" cy="1828800"/>
          <wp:effectExtent l="0" t="0" r="0" b="0"/>
          <wp:wrapNone/>
          <wp:docPr id="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descr=""/>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e1a9f"/>
    <w:pPr>
      <w:widowControl/>
      <w:bidi w:val="0"/>
      <w:spacing w:lineRule="auto" w:line="259" w:before="0" w:after="160"/>
      <w:jc w:val="both"/>
    </w:pPr>
    <w:rPr>
      <w:rFonts w:ascii="Times New Roman" w:hAnsi="Times New Roman" w:eastAsia="宋体" w:cs="" w:cstheme="minorBidi" w:eastAsiaTheme="minorEastAsia"/>
      <w:color w:val="auto"/>
      <w:kern w:val="0"/>
      <w:sz w:val="24"/>
      <w:szCs w:val="22"/>
      <w:lang w:val="en-US" w:eastAsia="zh-CN" w:bidi="ar-SA"/>
    </w:rPr>
  </w:style>
  <w:style w:type="paragraph" w:styleId="Heading1">
    <w:name w:val="Heading 1"/>
    <w:basedOn w:val="Normal"/>
    <w:next w:val="Normal"/>
    <w:link w:val="Heading1Char"/>
    <w:uiPriority w:val="9"/>
    <w:qFormat/>
    <w:rsid w:val="0051403d"/>
    <w:pPr>
      <w:keepNext w:val="true"/>
      <w:keepLines/>
      <w:spacing w:before="360" w:after="120"/>
      <w:jc w:val="center"/>
      <w:outlineLvl w:val="0"/>
    </w:pPr>
    <w:rPr>
      <w:rFonts w:eastAsia="宋体" w:cs="" w:cstheme="majorBidi" w:eastAsiaTheme="majorEastAsia"/>
      <w:b/>
      <w:color w:val="000000" w:themeColor="text1"/>
      <w:sz w:val="32"/>
      <w:szCs w:val="32"/>
    </w:rPr>
  </w:style>
  <w:style w:type="paragraph" w:styleId="Heading2">
    <w:name w:val="Heading 2"/>
    <w:basedOn w:val="Normal"/>
    <w:next w:val="Normal"/>
    <w:link w:val="Heading2Char"/>
    <w:uiPriority w:val="9"/>
    <w:unhideWhenUsed/>
    <w:qFormat/>
    <w:rsid w:val="00563204"/>
    <w:pPr>
      <w:keepNext w:val="true"/>
      <w:keepLines/>
      <w:spacing w:before="280" w:after="240"/>
      <w:outlineLvl w:val="1"/>
    </w:pPr>
    <w:rPr>
      <w:rFonts w:eastAsia="宋体" w:cs="" w:cstheme="majorBidi" w:eastAsiaTheme="majorEastAsia"/>
      <w:b/>
      <w:color w:val="000000" w:themeColor="text1"/>
      <w:sz w:val="28"/>
      <w:szCs w:val="26"/>
    </w:rPr>
  </w:style>
  <w:style w:type="paragraph" w:styleId="Heading3">
    <w:name w:val="Heading 3"/>
    <w:basedOn w:val="Normal"/>
    <w:next w:val="Normal"/>
    <w:link w:val="Heading3Char"/>
    <w:uiPriority w:val="9"/>
    <w:unhideWhenUsed/>
    <w:qFormat/>
    <w:rsid w:val="0051403d"/>
    <w:pPr>
      <w:keepNext w:val="true"/>
      <w:keepLines/>
      <w:spacing w:before="160" w:after="120"/>
      <w:outlineLvl w:val="2"/>
    </w:pPr>
    <w:rPr>
      <w:rFonts w:eastAsia="宋体" w:cs="" w:cstheme="majorBidi" w:eastAsiaTheme="majorEastAsia"/>
      <w:b/>
      <w:color w:val="000000" w:themeColor="text1"/>
      <w:sz w:val="28"/>
      <w:szCs w:val="24"/>
    </w:rPr>
  </w:style>
  <w:style w:type="paragraph" w:styleId="Heading4">
    <w:name w:val="Heading 4"/>
    <w:basedOn w:val="Normal"/>
    <w:link w:val="Heading4Char"/>
    <w:uiPriority w:val="9"/>
    <w:qFormat/>
    <w:rsid w:val="003b75aa"/>
    <w:pPr>
      <w:spacing w:lineRule="auto" w:line="240" w:beforeAutospacing="1" w:afterAutospacing="1"/>
      <w:outlineLvl w:val="3"/>
    </w:pPr>
    <w:rPr>
      <w:rFonts w:eastAsia="Times New Roman" w:cs="Times New Roman"/>
      <w:b/>
      <w:bCs/>
      <w:sz w:val="28"/>
      <w:szCs w:val="24"/>
      <w:lang w:eastAsia="en-U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1403d"/>
    <w:rPr>
      <w:rFonts w:ascii="Times New Roman" w:hAnsi="Times New Roman" w:eastAsia="宋体" w:cs="" w:cstheme="majorBidi" w:eastAsiaTheme="majorEastAsia"/>
      <w:b/>
      <w:color w:val="000000" w:themeColor="text1"/>
      <w:sz w:val="32"/>
      <w:szCs w:val="32"/>
    </w:rPr>
  </w:style>
  <w:style w:type="character" w:styleId="HeaderChar" w:customStyle="1">
    <w:name w:val="Header Char"/>
    <w:basedOn w:val="DefaultParagraphFont"/>
    <w:link w:val="Header"/>
    <w:uiPriority w:val="99"/>
    <w:qFormat/>
    <w:rsid w:val="004a4bfc"/>
    <w:rPr/>
  </w:style>
  <w:style w:type="character" w:styleId="FooterChar" w:customStyle="1">
    <w:name w:val="Footer Char"/>
    <w:basedOn w:val="DefaultParagraphFont"/>
    <w:link w:val="Footer"/>
    <w:uiPriority w:val="99"/>
    <w:qFormat/>
    <w:rsid w:val="004a4bfc"/>
    <w:rPr/>
  </w:style>
  <w:style w:type="character" w:styleId="InternetLink">
    <w:name w:val="Internet Link"/>
    <w:basedOn w:val="DefaultParagraphFont"/>
    <w:uiPriority w:val="99"/>
    <w:unhideWhenUsed/>
    <w:rsid w:val="002d4ee9"/>
    <w:rPr>
      <w:color w:val="0563C1" w:themeColor="hyperlink"/>
      <w:u w:val="single"/>
    </w:rPr>
  </w:style>
  <w:style w:type="character" w:styleId="Heading2Char" w:customStyle="1">
    <w:name w:val="Heading 2 Char"/>
    <w:basedOn w:val="DefaultParagraphFont"/>
    <w:link w:val="Heading2"/>
    <w:uiPriority w:val="9"/>
    <w:qFormat/>
    <w:rsid w:val="00563204"/>
    <w:rPr>
      <w:rFonts w:ascii="Times New Roman" w:hAnsi="Times New Roman" w:eastAsia="宋体" w:cs="" w:cstheme="majorBidi" w:eastAsiaTheme="majorEastAsia"/>
      <w:b/>
      <w:color w:val="000000" w:themeColor="text1"/>
      <w:sz w:val="28"/>
      <w:szCs w:val="26"/>
    </w:rPr>
  </w:style>
  <w:style w:type="character" w:styleId="Appleconvertedspace" w:customStyle="1">
    <w:name w:val="apple-converted-space"/>
    <w:basedOn w:val="DefaultParagraphFont"/>
    <w:qFormat/>
    <w:rsid w:val="001b1638"/>
    <w:rPr/>
  </w:style>
  <w:style w:type="character" w:styleId="HTMLPreformattedChar" w:customStyle="1">
    <w:name w:val="HTML Preformatted Char"/>
    <w:basedOn w:val="DefaultParagraphFont"/>
    <w:link w:val="HTMLPreformatted"/>
    <w:uiPriority w:val="99"/>
    <w:qFormat/>
    <w:rsid w:val="00d8070d"/>
    <w:rPr>
      <w:rFonts w:ascii="Courier New" w:hAnsi="Courier New" w:eastAsia="Times New Roman" w:cs="Courier New"/>
      <w:sz w:val="20"/>
      <w:szCs w:val="20"/>
    </w:rPr>
  </w:style>
  <w:style w:type="character" w:styleId="EndnoteTextChar" w:customStyle="1">
    <w:name w:val="Endnote Text Char"/>
    <w:basedOn w:val="DefaultParagraphFont"/>
    <w:link w:val="EndnoteText"/>
    <w:uiPriority w:val="99"/>
    <w:semiHidden/>
    <w:qFormat/>
    <w:rsid w:val="007419d8"/>
    <w:rPr>
      <w:sz w:val="20"/>
      <w:szCs w:val="20"/>
    </w:rPr>
  </w:style>
  <w:style w:type="character" w:styleId="EndnoteCharacters">
    <w:name w:val="Endnote Characters"/>
    <w:basedOn w:val="DefaultParagraphFont"/>
    <w:uiPriority w:val="99"/>
    <w:semiHidden/>
    <w:unhideWhenUsed/>
    <w:qFormat/>
    <w:rsid w:val="007419d8"/>
    <w:rPr>
      <w:vertAlign w:val="superscript"/>
    </w:rPr>
  </w:style>
  <w:style w:type="character"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styleId="Heading3Char" w:customStyle="1">
    <w:name w:val="Heading 3 Char"/>
    <w:basedOn w:val="DefaultParagraphFont"/>
    <w:link w:val="Heading3"/>
    <w:uiPriority w:val="9"/>
    <w:qFormat/>
    <w:rsid w:val="0051403d"/>
    <w:rPr>
      <w:rFonts w:ascii="Times New Roman" w:hAnsi="Times New Roman" w:eastAsia="宋体" w:cs="" w:cstheme="majorBidi" w:eastAsiaTheme="majorEastAsia"/>
      <w:b/>
      <w:color w:val="000000" w:themeColor="text1"/>
      <w:sz w:val="28"/>
      <w:szCs w:val="24"/>
    </w:rPr>
  </w:style>
  <w:style w:type="character" w:styleId="BalloonTextChar" w:customStyle="1">
    <w:name w:val="Balloon Text Char"/>
    <w:basedOn w:val="DefaultParagraphFont"/>
    <w:link w:val="BalloonText"/>
    <w:uiPriority w:val="99"/>
    <w:semiHidden/>
    <w:qFormat/>
    <w:rsid w:val="00264fcd"/>
    <w:rPr>
      <w:rFonts w:ascii="Segoe UI" w:hAnsi="Segoe UI" w:cs="Segoe UI"/>
      <w:sz w:val="18"/>
      <w:szCs w:val="18"/>
    </w:rPr>
  </w:style>
  <w:style w:type="character" w:styleId="Heading4Char" w:customStyle="1">
    <w:name w:val="Heading 4 Char"/>
    <w:basedOn w:val="DefaultParagraphFont"/>
    <w:link w:val="Heading4"/>
    <w:uiPriority w:val="9"/>
    <w:qFormat/>
    <w:rsid w:val="003b75aa"/>
    <w:rPr>
      <w:rFonts w:ascii="Times New Roman" w:hAnsi="Times New Roman" w:eastAsia="Times New Roman" w:cs="Times New Roman"/>
      <w:b/>
      <w:bCs/>
      <w:sz w:val="28"/>
      <w:szCs w:val="24"/>
      <w:lang w:eastAsia="en-US"/>
    </w:rPr>
  </w:style>
  <w:style w:type="character" w:styleId="Ilad" w:customStyle="1">
    <w:name w:val="il_ad"/>
    <w:basedOn w:val="DefaultParagraphFont"/>
    <w:qFormat/>
    <w:rsid w:val="00906514"/>
    <w:rPr/>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styleId="Citationurltext" w:customStyle="1">
    <w:name w:val="citation__url-text"/>
    <w:basedOn w:val="DefaultParagraphFont"/>
    <w:qFormat/>
    <w:rsid w:val="00906514"/>
    <w:rPr/>
  </w:style>
  <w:style w:type="character" w:styleId="EndNoteBibliographyTitleChar" w:customStyle="1">
    <w:name w:val="EndNote Bibliography Title Char"/>
    <w:basedOn w:val="DefaultParagraphFont"/>
    <w:link w:val="EndNoteBibliographyTitle"/>
    <w:qFormat/>
    <w:rsid w:val="00906514"/>
    <w:rPr>
      <w:rFonts w:ascii="Calibri" w:hAnsi="Calibri" w:cs="Calibri"/>
      <w:lang w:eastAsia="en-US"/>
    </w:rPr>
  </w:style>
  <w:style w:type="character" w:styleId="EndNoteBibliographyChar" w:customStyle="1">
    <w:name w:val="EndNote Bibliography Char"/>
    <w:basedOn w:val="DefaultParagraphFont"/>
    <w:link w:val="EndNoteBibliography"/>
    <w:qFormat/>
    <w:rsid w:val="00906514"/>
    <w:rPr>
      <w:rFonts w:ascii="Calibri" w:hAnsi="Calibri" w:cs="Calibri"/>
      <w:lang w:eastAsia="en-US"/>
    </w:rPr>
  </w:style>
  <w:style w:type="character" w:styleId="ListLabel1">
    <w:name w:val="ListLabel 1"/>
    <w:qFormat/>
    <w:rPr>
      <w:rFonts w:eastAsia="宋体" w:cs="Calibri"/>
      <w:color w:val="000000"/>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Times New Roman"/>
      <w:szCs w:val="24"/>
    </w:rPr>
  </w:style>
  <w:style w:type="character" w:styleId="ListLabel6">
    <w:name w:val="ListLabel 6"/>
    <w:qFormat/>
    <w:rPr>
      <w:rFonts w:cs="Times New Roman"/>
      <w:szCs w:val="24"/>
      <w:lang w:eastAsia="zh-TW"/>
    </w:rPr>
  </w:style>
  <w:style w:type="character" w:styleId="ListLabel7">
    <w:name w:val="ListLabel 7"/>
    <w:qFormat/>
    <w:rPr>
      <w:lang w:eastAsia="zh-T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Spacing">
    <w:name w:val="No Spacing"/>
    <w:uiPriority w:val="1"/>
    <w:qFormat/>
    <w:rsid w:val="00497108"/>
    <w:pPr>
      <w:widowControl/>
      <w:bidi w:val="0"/>
      <w:spacing w:lineRule="auto" w:line="240" w:before="0" w:after="0"/>
      <w:jc w:val="left"/>
    </w:pPr>
    <w:rPr>
      <w:rFonts w:ascii="Calibri" w:hAnsi="Calibri" w:eastAsia="宋体" w:cs="" w:asciiTheme="minorHAnsi" w:cstheme="minorBidi" w:eastAsiaTheme="minorEastAsia" w:hAnsiTheme="minorHAnsi"/>
      <w:color w:val="auto"/>
      <w:kern w:val="0"/>
      <w:sz w:val="24"/>
      <w:szCs w:val="22"/>
      <w:lang w:val="en-US" w:eastAsia="zh-CN" w:bidi="ar-SA"/>
    </w:rPr>
  </w:style>
  <w:style w:type="paragraph" w:styleId="Default" w:customStyle="1">
    <w:name w:val="Default"/>
    <w:qFormat/>
    <w:rsid w:val="00414d5e"/>
    <w:pPr>
      <w:widowControl/>
      <w:bidi w:val="0"/>
      <w:spacing w:lineRule="auto" w:line="240" w:before="0" w:after="0"/>
      <w:jc w:val="left"/>
    </w:pPr>
    <w:rPr>
      <w:rFonts w:ascii="DFKai-SB" w:hAnsi="DFKai-SB" w:eastAsia="DFKai-SB" w:cs="DFKai-SB"/>
      <w:color w:val="000000"/>
      <w:kern w:val="0"/>
      <w:sz w:val="24"/>
      <w:szCs w:val="24"/>
      <w:lang w:val="en-US" w:eastAsia="zh-CN" w:bidi="ar-SA"/>
    </w:rPr>
  </w:style>
  <w:style w:type="paragraph" w:styleId="TOCHeading">
    <w:name w:val="TOC Heading"/>
    <w:basedOn w:val="Heading1"/>
    <w:next w:val="Normal"/>
    <w:uiPriority w:val="39"/>
    <w:unhideWhenUsed/>
    <w:qFormat/>
    <w:rsid w:val="004a4bfc"/>
    <w:pPr/>
    <w:rPr>
      <w:lang w:eastAsia="en-US"/>
    </w:rPr>
  </w:style>
  <w:style w:type="paragraph" w:styleId="Header">
    <w:name w:val="Header"/>
    <w:basedOn w:val="Normal"/>
    <w:link w:val="HeaderChar"/>
    <w:uiPriority w:val="99"/>
    <w:unhideWhenUsed/>
    <w:rsid w:val="004a4bf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a4bfc"/>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2d4ee9"/>
    <w:pPr>
      <w:spacing w:before="0" w:after="100"/>
    </w:pPr>
    <w:rPr/>
  </w:style>
  <w:style w:type="paragraph" w:styleId="HTMLPreformatted">
    <w:name w:val="HTML Preformatted"/>
    <w:basedOn w:val="Normal"/>
    <w:link w:val="HTMLPreformattedChar"/>
    <w:uiPriority w:val="99"/>
    <w:unhideWhenUsed/>
    <w:qFormat/>
    <w:rsid w:val="00d8070d"/>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Caption1">
    <w:name w:val="caption"/>
    <w:basedOn w:val="Normal"/>
    <w:next w:val="Normal"/>
    <w:uiPriority w:val="35"/>
    <w:unhideWhenUsed/>
    <w:qFormat/>
    <w:rsid w:val="00aa1d8c"/>
    <w:pPr>
      <w:spacing w:lineRule="auto" w:line="240" w:before="240" w:after="440"/>
      <w:jc w:val="center"/>
    </w:pPr>
    <w:rPr>
      <w:iCs/>
      <w:color w:val="000000" w:themeColor="text1"/>
      <w:szCs w:val="18"/>
    </w:rPr>
  </w:style>
  <w:style w:type="paragraph" w:styleId="Tableoffigures">
    <w:name w:val="table of figures"/>
    <w:basedOn w:val="Normal"/>
    <w:next w:val="Normal"/>
    <w:uiPriority w:val="99"/>
    <w:unhideWhenUsed/>
    <w:qFormat/>
    <w:rsid w:val="00937f3a"/>
    <w:pPr>
      <w:spacing w:before="0" w:after="0"/>
    </w:pPr>
    <w:rPr/>
  </w:style>
  <w:style w:type="paragraph" w:styleId="Contents2">
    <w:name w:val="TOC 2"/>
    <w:basedOn w:val="Normal"/>
    <w:next w:val="Normal"/>
    <w:autoRedefine/>
    <w:uiPriority w:val="39"/>
    <w:unhideWhenUsed/>
    <w:rsid w:val="00122e59"/>
    <w:pPr>
      <w:spacing w:before="0" w:after="100"/>
      <w:ind w:left="220" w:hanging="0"/>
    </w:pPr>
    <w:rPr/>
  </w:style>
  <w:style w:type="paragraph" w:styleId="Endnote">
    <w:name w:val="Endnote Text"/>
    <w:basedOn w:val="Normal"/>
    <w:link w:val="EndnoteTextChar"/>
    <w:uiPriority w:val="99"/>
    <w:semiHidden/>
    <w:unhideWhenUsed/>
    <w:rsid w:val="007419d8"/>
    <w:pPr>
      <w:spacing w:lineRule="auto" w:line="240" w:before="0" w:after="0"/>
    </w:pPr>
    <w:rPr>
      <w:sz w:val="20"/>
      <w:szCs w:val="20"/>
    </w:rPr>
  </w:style>
  <w:style w:type="paragraph" w:styleId="Para" w:customStyle="1">
    <w:name w:val="para"/>
    <w:basedOn w:val="Normal"/>
    <w:qFormat/>
    <w:rsid w:val="00433dff"/>
    <w:pPr>
      <w:spacing w:lineRule="auto" w:line="240" w:beforeAutospacing="1" w:afterAutospacing="1"/>
    </w:pPr>
    <w:rPr>
      <w:rFonts w:eastAsia="Times New Roman" w:cs="Times New Roman"/>
      <w:szCs w:val="24"/>
    </w:rPr>
  </w:style>
  <w:style w:type="paragraph" w:styleId="NormalWeb">
    <w:name w:val="Normal (Web)"/>
    <w:basedOn w:val="Normal"/>
    <w:uiPriority w:val="99"/>
    <w:unhideWhenUsed/>
    <w:qFormat/>
    <w:rsid w:val="001d4654"/>
    <w:pPr>
      <w:spacing w:lineRule="auto" w:line="240" w:beforeAutospacing="1" w:afterAutospacing="1"/>
    </w:pPr>
    <w:rPr>
      <w:rFonts w:eastAsia="Times New Roman" w:cs="Times New Roman"/>
      <w:szCs w:val="24"/>
    </w:rPr>
  </w:style>
  <w:style w:type="paragraph" w:styleId="Contents3">
    <w:name w:val="TOC 3"/>
    <w:basedOn w:val="Normal"/>
    <w:next w:val="Normal"/>
    <w:autoRedefine/>
    <w:uiPriority w:val="39"/>
    <w:unhideWhenUsed/>
    <w:rsid w:val="00c12dec"/>
    <w:pPr>
      <w:spacing w:before="0" w:after="100"/>
      <w:ind w:left="440" w:hanging="0"/>
    </w:pPr>
    <w:rPr/>
  </w:style>
  <w:style w:type="paragraph" w:styleId="BalloonText">
    <w:name w:val="Balloon Text"/>
    <w:basedOn w:val="Normal"/>
    <w:link w:val="BalloonTextChar"/>
    <w:uiPriority w:val="99"/>
    <w:semiHidden/>
    <w:unhideWhenUsed/>
    <w:qFormat/>
    <w:rsid w:val="00264fcd"/>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ac062b"/>
    <w:pPr>
      <w:spacing w:before="0" w:after="160"/>
      <w:ind w:left="720" w:hanging="0"/>
      <w:contextualSpacing/>
    </w:pPr>
    <w:rPr/>
  </w:style>
  <w:style w:type="paragraph" w:styleId="EndNoteBibliographyTitle" w:customStyle="1">
    <w:name w:val="EndNote Bibliography Title"/>
    <w:basedOn w:val="Normal"/>
    <w:link w:val="EndNoteBibliographyTitleChar"/>
    <w:qFormat/>
    <w:rsid w:val="00906514"/>
    <w:pPr>
      <w:spacing w:lineRule="auto" w:line="276" w:before="0" w:after="0"/>
      <w:jc w:val="center"/>
    </w:pPr>
    <w:rPr>
      <w:rFonts w:ascii="Calibri" w:hAnsi="Calibri" w:cs="Calibri"/>
      <w:sz w:val="22"/>
      <w:lang w:eastAsia="en-US"/>
    </w:rPr>
  </w:style>
  <w:style w:type="paragraph" w:styleId="EndNoteBibliography" w:customStyle="1">
    <w:name w:val="EndNote Bibliography"/>
    <w:basedOn w:val="Normal"/>
    <w:link w:val="EndNoteBibliographyChar"/>
    <w:qFormat/>
    <w:rsid w:val="00906514"/>
    <w:pPr>
      <w:spacing w:lineRule="auto" w:line="240" w:before="0" w:after="200"/>
    </w:pPr>
    <w:rPr>
      <w:rFonts w:ascii="Calibri" w:hAnsi="Calibri" w:cs="Calibri"/>
      <w:sz w:val="22"/>
      <w:lang w:eastAsia="en-US"/>
    </w:rPr>
  </w:style>
  <w:style w:type="paragraph" w:styleId="Contents4">
    <w:name w:val="TOC 4"/>
    <w:basedOn w:val="Normal"/>
    <w:next w:val="Normal"/>
    <w:autoRedefine/>
    <w:uiPriority w:val="39"/>
    <w:unhideWhenUsed/>
    <w:rsid w:val="00c544f4"/>
    <w:pPr>
      <w:spacing w:before="0" w:after="100"/>
      <w:ind w:left="720" w:hanging="0"/>
    </w:pPr>
    <w:rPr/>
  </w:style>
  <w:style w:type="paragraph" w:styleId="IllustrationIndex1">
    <w:name w:val="Illustration Index 1"/>
    <w:basedOn w:val="Index"/>
    <w:qFormat/>
    <w:pPr>
      <w:tabs>
        <w:tab w:val="right" w:pos="8504"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d1ef1"/>
    <w:pPr>
      <w:spacing w:after="0" w:line="240" w:lineRule="auto"/>
    </w:pPr>
    <w:rPr>
      <w:lang w:eastAsia="zh-TW"/>
      <w:sz w:val="24"/>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List-Accent3">
    <w:name w:val="Light List Accent 3"/>
    <w:basedOn w:val="TableNormal"/>
    <w:uiPriority w:val="61"/>
    <w:rsid w:val="00906514"/>
    <w:pPr>
      <w:spacing w:after="0" w:line="240" w:lineRule="auto"/>
    </w:pPr>
    <w:rPr>
      <w:lang w:eastAsia="en-US"/>
    </w:rPr>
    <w:tblPr>
      <w:tblStyleRowBandSize w:val="1"/>
      <w:tblStyleColBandSize w:val="1"/>
      <w:tblInd w:w="0" w:type="dxa"/>
      <w:tblBorders>
        <w:top w:val="single" w:color="A5A5A5" w:themeColor="accent3" w:sz="8" w:space="0"/>
        <w:left w:val="single" w:color="A5A5A5" w:themeColor="accent3" w:sz="8" w:space="0"/>
        <w:bottom w:val="single" w:color="A5A5A5" w:themeColor="accent3" w:sz="8" w:space="0"/>
        <w:right w:val="single" w:color="A5A5A5"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ghtList-Accent1">
    <w:name w:val="Light List Accent 1"/>
    <w:basedOn w:val="TableNormal"/>
    <w:uiPriority w:val="61"/>
    <w:rsid w:val="00dd2caa"/>
    <w:pPr>
      <w:spacing w:after="0" w:line="240" w:lineRule="auto"/>
    </w:pPr>
    <w:tblPr>
      <w:tblStyleRowBandSize w:val="1"/>
      <w:tblStyleColBandSize w:val="1"/>
      <w:tblInd w:w="0" w:type="dxa"/>
      <w:tblBorders>
        <w:top w:val="single" w:color="5B9BD5" w:themeColor="accent1" w:sz="8" w:space="0"/>
        <w:left w:val="single" w:color="5B9BD5" w:themeColor="accent1" w:sz="8" w:space="0"/>
        <w:bottom w:val="single" w:color="5B9BD5" w:themeColor="accent1" w:sz="8" w:space="0"/>
        <w:right w:val="single" w:color="5B9BD5"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www.genome.jp/aaindex/"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www.csie.ntu.edu.tw/~cjlin/libsvm/" TargetMode="External"/><Relationship Id="rId12" Type="http://schemas.openxmlformats.org/officeDocument/2006/relationships/image" Target="media/image8.png"/><Relationship Id="rId13" Type="http://schemas.openxmlformats.org/officeDocument/2006/relationships/image" Target="media/image9.gif"/><Relationship Id="rId14" Type="http://schemas.openxmlformats.org/officeDocument/2006/relationships/image" Target="media/image10.png"/><Relationship Id="rId15" Type="http://schemas.openxmlformats.org/officeDocument/2006/relationships/hyperlink" Target="http://www.cs.waikato.ac.nz/ml/weka/"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hyperlink" Target="https://www.boundless.com/biology/textbooks/boundless-biology-textbook/metabolism-6/atp-adenosine-triphosphate-71/atp-adenosine-triphosphate-349-12938/" TargetMode="External"/><Relationship Id="rId34" Type="http://schemas.openxmlformats.org/officeDocument/2006/relationships/hyperlink" Target="https://www.csie.ntu.edu.tw/~yien/quickrbf/" TargetMode="External"/><Relationship Id="rId35" Type="http://schemas.openxmlformats.org/officeDocument/2006/relationships/header" Target="header2.xml"/><Relationship Id="rId36" Type="http://schemas.openxmlformats.org/officeDocument/2006/relationships/footer" Target="footer2.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E4B81-D951-4E4A-A6F1-7D0B344E5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58685</TotalTime>
  <Application>LibreOffice/6.0.1.1$Windows_X86_64 LibreOffice_project/60bfb1526849283ce2491346ed2aa51c465abfe6</Application>
  <Pages>48</Pages>
  <Words>10766</Words>
  <Characters>59507</Characters>
  <CharactersWithSpaces>68492</CharactersWithSpaces>
  <Paragraphs>1844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2014-05-19T04:15:00Z</dcterms:created>
  <dc:creator>Andre Lukito</dc:creator>
  <dc:description/>
  <dc:language>en-US</dc:language>
  <cp:lastModifiedBy/>
  <cp:lastPrinted>2016-03-03T05:29:00Z</cp:lastPrinted>
  <dcterms:modified xsi:type="dcterms:W3CDTF">2018-02-21T10:29:17Z</dcterms:modified>
  <cp:revision>1516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