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COMPUTING</w:t>
      </w:r>
    </w:p>
    <w:p>
      <w:pPr>
        <w:jc w:val="center"/>
      </w:pPr>
      <w:r>
        <w:rPr>
          <w:b/>
          <w:sz w:val="32"/>
        </w:rPr>
        <w:t>TERM ONE – WEEK 15</w:t>
        <w:br/>
        <w:t>LESSON PLANS AND NOTES</w:t>
      </w:r>
    </w:p>
    <w:p>
      <w:pPr>
        <w:jc w:val="center"/>
      </w:pPr>
      <w:r>
        <w:rPr>
          <w:b/>
        </w:rPr>
        <w:t>Academic Year 2026/2027</w:t>
      </w:r>
    </w:p>
    <w:p>
      <w:pPr>
        <w:jc w:val="center"/>
      </w:pPr>
      <w:r>
        <w:t>End-of-Term Examination and Marking</w:t>
      </w:r>
    </w:p>
    <w:p>
      <w:r>
        <w:br w:type="page"/>
      </w:r>
    </w:p>
    <w:p>
      <w:pPr>
        <w:pStyle w:val="Heading1"/>
      </w:pPr>
      <w:r>
        <w:t>PART I: WEEKLY OVERVIEW</w:t>
      </w:r>
    </w:p>
    <w:p>
      <w:r>
        <w:t>Week 15 is reserved for the End-of-Term Examination. The scheme specifies theory and practical assessment covering the topics taught during the term, followed by marking.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Strand</w:t>
            </w:r>
          </w:p>
        </w:tc>
        <w:tc>
          <w:tcPr>
            <w:tcW w:type="dxa" w:w="5112"/>
            <w:vAlign w:val="center"/>
          </w:tcPr>
          <w:p>
            <w:r/>
            <w:r>
              <w:rPr>
                <w:b w:val="0"/>
                <w:sz w:val="18"/>
              </w:rPr>
              <w:t>All strands/topics covered during the term</w:t>
            </w:r>
          </w:p>
        </w:tc>
      </w:tr>
      <w:tr>
        <w:tc>
          <w:tcPr>
            <w:tcW w:type="dxa" w:w="5112"/>
            <w:vAlign w:val="center"/>
            <w:shd w:fill="EAF2F8"/>
          </w:tcPr>
          <w:p>
            <w:r/>
            <w:r>
              <w:rPr>
                <w:b/>
                <w:sz w:val="18"/>
              </w:rPr>
              <w:t>Sub-strand</w:t>
            </w:r>
          </w:p>
        </w:tc>
        <w:tc>
          <w:tcPr>
            <w:tcW w:type="dxa" w:w="5112"/>
            <w:vAlign w:val="center"/>
          </w:tcPr>
          <w:p>
            <w:r/>
            <w:r>
              <w:rPr>
                <w:b w:val="0"/>
                <w:sz w:val="18"/>
              </w:rPr>
              <w:t>All topics covered during the term</w:t>
            </w:r>
          </w:p>
        </w:tc>
      </w:tr>
      <w:tr>
        <w:tc>
          <w:tcPr>
            <w:tcW w:type="dxa" w:w="5112"/>
            <w:vAlign w:val="center"/>
            <w:shd w:fill="EAF2F8"/>
          </w:tcPr>
          <w:p>
            <w:r/>
            <w:r>
              <w:rPr>
                <w:b/>
                <w:sz w:val="18"/>
              </w:rPr>
              <w:t>Content Standard / Indicator</w:t>
            </w:r>
          </w:p>
        </w:tc>
        <w:tc>
          <w:tcPr>
            <w:tcW w:type="dxa" w:w="5112"/>
            <w:vAlign w:val="center"/>
          </w:tcPr>
          <w:p>
            <w:r/>
            <w:r>
              <w:rPr>
                <w:b w:val="0"/>
                <w:sz w:val="18"/>
              </w:rPr>
              <w:t>End-of-Term Examination</w:t>
            </w:r>
          </w:p>
        </w:tc>
      </w:tr>
      <w:tr>
        <w:tc>
          <w:tcPr>
            <w:tcW w:type="dxa" w:w="5112"/>
            <w:vAlign w:val="center"/>
            <w:shd w:fill="EAF2F8"/>
          </w:tcPr>
          <w:p>
            <w:r/>
            <w:r>
              <w:rPr>
                <w:b/>
                <w:sz w:val="18"/>
              </w:rPr>
              <w:t>Lesson 1</w:t>
            </w:r>
          </w:p>
        </w:tc>
        <w:tc>
          <w:tcPr>
            <w:tcW w:type="dxa" w:w="5112"/>
            <w:vAlign w:val="center"/>
          </w:tcPr>
          <w:p>
            <w:r/>
            <w:r>
              <w:rPr>
                <w:b w:val="0"/>
                <w:sz w:val="18"/>
              </w:rPr>
              <w:t>Theory Examination</w:t>
            </w:r>
          </w:p>
        </w:tc>
      </w:tr>
      <w:tr>
        <w:tc>
          <w:tcPr>
            <w:tcW w:type="dxa" w:w="5112"/>
            <w:vAlign w:val="center"/>
            <w:shd w:fill="EAF2F8"/>
          </w:tcPr>
          <w:p>
            <w:r/>
            <w:r>
              <w:rPr>
                <w:b/>
                <w:sz w:val="18"/>
              </w:rPr>
              <w:t>Lesson 2</w:t>
            </w:r>
          </w:p>
        </w:tc>
        <w:tc>
          <w:tcPr>
            <w:tcW w:type="dxa" w:w="5112"/>
            <w:vAlign w:val="center"/>
          </w:tcPr>
          <w:p>
            <w:r/>
            <w:r>
              <w:rPr>
                <w:b w:val="0"/>
                <w:sz w:val="18"/>
              </w:rPr>
              <w:t>Practical Examination and/or practical assessment; marking as scheduled</w:t>
            </w:r>
          </w:p>
        </w:tc>
      </w:tr>
      <w:tr>
        <w:tc>
          <w:tcPr>
            <w:tcW w:type="dxa" w:w="5112"/>
            <w:vAlign w:val="center"/>
            <w:shd w:fill="EAF2F8"/>
          </w:tcPr>
          <w:p>
            <w:r/>
            <w:r>
              <w:rPr>
                <w:b/>
                <w:sz w:val="18"/>
              </w:rPr>
              <w:t>Resources</w:t>
            </w:r>
          </w:p>
        </w:tc>
        <w:tc>
          <w:tcPr>
            <w:tcW w:type="dxa" w:w="5112"/>
            <w:vAlign w:val="center"/>
          </w:tcPr>
          <w:p>
            <w:r/>
            <w:r>
              <w:rPr>
                <w:b w:val="0"/>
                <w:sz w:val="18"/>
              </w:rPr>
              <w:t>Examination papers, computers, answer sheets</w:t>
            </w:r>
          </w:p>
        </w:tc>
      </w:tr>
    </w:tbl>
    <w:p>
      <w:pPr>
        <w:pStyle w:val="Heading1"/>
      </w:pPr>
      <w:r>
        <w:t>PART II: LESSON PLANS</w:t>
      </w:r>
    </w:p>
    <w:p>
      <w:pPr>
        <w:pStyle w:val="Heading2"/>
      </w:pPr>
      <w:r>
        <w:t>Lesson 1: End-of-Term Theory Examination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Topic</w:t>
            </w:r>
          </w:p>
        </w:tc>
        <w:tc>
          <w:tcPr>
            <w:tcW w:type="dxa" w:w="5112"/>
            <w:vAlign w:val="center"/>
          </w:tcPr>
          <w:p>
            <w:r/>
            <w:r>
              <w:rPr>
                <w:b w:val="0"/>
                <w:sz w:val="18"/>
              </w:rPr>
              <w:t>End-of-Term Theory Examination</w:t>
            </w:r>
          </w:p>
        </w:tc>
      </w:tr>
      <w:tr>
        <w:tc>
          <w:tcPr>
            <w:tcW w:type="dxa" w:w="5112"/>
            <w:vAlign w:val="center"/>
            <w:shd w:fill="EAF2F8"/>
          </w:tcPr>
          <w:p>
            <w:r/>
            <w:r>
              <w:rPr>
                <w:b/>
                <w:sz w:val="18"/>
              </w:rPr>
              <w:t>Coverage</w:t>
            </w:r>
          </w:p>
        </w:tc>
        <w:tc>
          <w:tcPr>
            <w:tcW w:type="dxa" w:w="5112"/>
            <w:vAlign w:val="center"/>
          </w:tcPr>
          <w:p>
            <w:r/>
            <w:r>
              <w:rPr>
                <w:b w:val="0"/>
                <w:sz w:val="18"/>
              </w:rPr>
              <w:t>All Computing topics taught during Term One</w:t>
            </w:r>
          </w:p>
        </w:tc>
      </w:tr>
      <w:tr>
        <w:tc>
          <w:tcPr>
            <w:tcW w:type="dxa" w:w="5112"/>
            <w:vAlign w:val="center"/>
            <w:shd w:fill="EAF2F8"/>
          </w:tcPr>
          <w:p>
            <w:r/>
            <w:r>
              <w:rPr>
                <w:b/>
                <w:sz w:val="18"/>
              </w:rPr>
              <w:t>Resources</w:t>
            </w:r>
          </w:p>
        </w:tc>
        <w:tc>
          <w:tcPr>
            <w:tcW w:type="dxa" w:w="5112"/>
            <w:vAlign w:val="center"/>
          </w:tcPr>
          <w:p>
            <w:r/>
            <w:r>
              <w:rPr>
                <w:b w:val="0"/>
                <w:sz w:val="18"/>
              </w:rPr>
              <w:t>Examination papers, answer sheets, writing materials</w:t>
            </w:r>
          </w:p>
        </w:tc>
      </w:tr>
    </w:tbl>
    <w:p>
      <w:pPr>
        <w:pStyle w:val="Heading3"/>
      </w:pPr>
      <w:r>
        <w:t>Purpose</w:t>
      </w:r>
    </w:p>
    <w:p>
      <w:r>
        <w:t>To assess learners’ understanding of the concepts, terminology, principles and procedures taught during the term.</w:t>
      </w:r>
    </w:p>
    <w:p>
      <w:pPr>
        <w:pStyle w:val="Heading3"/>
      </w:pPr>
      <w:r>
        <w:t>Teacher Activities</w:t>
      </w:r>
    </w:p>
    <w:p>
      <w:pPr>
        <w:pStyle w:val="ListBullet"/>
      </w:pPr>
      <w:r>
        <w:t>Prepare and distribute the examination papers and answer sheets.</w:t>
      </w:r>
    </w:p>
    <w:p>
      <w:pPr>
        <w:pStyle w:val="ListBullet"/>
      </w:pPr>
      <w:r>
        <w:t>Explain the examination instructions clearly before learners begin.</w:t>
      </w:r>
    </w:p>
    <w:p>
      <w:pPr>
        <w:pStyle w:val="ListBullet"/>
      </w:pPr>
      <w:r>
        <w:t>Ensure that learners understand how to record their answers.</w:t>
      </w:r>
    </w:p>
    <w:p>
      <w:pPr>
        <w:pStyle w:val="ListBullet"/>
      </w:pPr>
      <w:r>
        <w:t>Supervise the examination and maintain appropriate examination conditions.</w:t>
      </w:r>
    </w:p>
    <w:p>
      <w:pPr>
        <w:pStyle w:val="ListBullet"/>
      </w:pPr>
      <w:r>
        <w:t>Collect answer scripts at the end of the examination.</w:t>
      </w:r>
    </w:p>
    <w:p>
      <w:pPr>
        <w:pStyle w:val="Heading3"/>
      </w:pPr>
      <w:r>
        <w:t>Learner Activities</w:t>
      </w:r>
    </w:p>
    <w:p>
      <w:pPr>
        <w:pStyle w:val="ListBullet"/>
      </w:pPr>
      <w:r>
        <w:t>Read the examination instructions carefully.</w:t>
      </w:r>
    </w:p>
    <w:p>
      <w:pPr>
        <w:pStyle w:val="ListBullet"/>
      </w:pPr>
      <w:r>
        <w:t>Answer the questions independently.</w:t>
      </w:r>
    </w:p>
    <w:p>
      <w:pPr>
        <w:pStyle w:val="ListBullet"/>
      </w:pPr>
      <w:r>
        <w:t>Review answers where time permits.</w:t>
      </w:r>
    </w:p>
    <w:p>
      <w:pPr>
        <w:pStyle w:val="ListBullet"/>
      </w:pPr>
      <w:r>
        <w:t>Submit the answer script at the end of the examination.</w:t>
      </w:r>
    </w:p>
    <w:p>
      <w:pPr>
        <w:pStyle w:val="Heading3"/>
      </w:pPr>
      <w:r>
        <w:t>Assessment Coverage</w:t>
      </w:r>
    </w:p>
    <w:p>
      <w:pPr>
        <w:pStyle w:val="ListBullet"/>
      </w:pPr>
      <w:r>
        <w:t>Components of computer systems and hardware.</w:t>
      </w:r>
    </w:p>
    <w:p>
      <w:pPr>
        <w:pStyle w:val="ListBullet"/>
      </w:pPr>
      <w:r>
        <w:t>Internet, communication technologies and responsible use.</w:t>
      </w:r>
    </w:p>
    <w:p>
      <w:pPr>
        <w:pStyle w:val="ListBullet"/>
      </w:pPr>
      <w:r>
        <w:t>Cyber safety, password protection and responsible internet/social media use.</w:t>
      </w:r>
    </w:p>
    <w:p>
      <w:pPr>
        <w:pStyle w:val="ListBullet"/>
      </w:pPr>
      <w:r>
        <w:t>Word processing features and document formatting.</w:t>
      </w:r>
    </w:p>
    <w:p>
      <w:pPr>
        <w:pStyle w:val="ListBullet"/>
      </w:pPr>
      <w:r>
        <w:t>Spreadsheet data entry, simple calculations, SUM, AVERAGE and cell formatting.</w:t>
      </w:r>
    </w:p>
    <w:p>
      <w:pPr>
        <w:pStyle w:val="ListBullet"/>
      </w:pPr>
      <w:r>
        <w:t>Algorithms and flowcharts.</w:t>
      </w:r>
    </w:p>
    <w:p>
      <w:pPr>
        <w:pStyle w:val="Heading2"/>
      </w:pPr>
      <w:r>
        <w:t>Lesson 2: Practical Examination and Marking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8</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Topic</w:t>
            </w:r>
          </w:p>
        </w:tc>
        <w:tc>
          <w:tcPr>
            <w:tcW w:type="dxa" w:w="5112"/>
            <w:vAlign w:val="center"/>
          </w:tcPr>
          <w:p>
            <w:r/>
            <w:r>
              <w:rPr>
                <w:b w:val="0"/>
                <w:sz w:val="18"/>
              </w:rPr>
              <w:t>End-of-Term Practical Examination and Marking</w:t>
            </w:r>
          </w:p>
        </w:tc>
      </w:tr>
      <w:tr>
        <w:tc>
          <w:tcPr>
            <w:tcW w:type="dxa" w:w="5112"/>
            <w:vAlign w:val="center"/>
            <w:shd w:fill="EAF2F8"/>
          </w:tcPr>
          <w:p>
            <w:r/>
            <w:r>
              <w:rPr>
                <w:b/>
                <w:sz w:val="18"/>
              </w:rPr>
              <w:t>Coverage</w:t>
            </w:r>
          </w:p>
        </w:tc>
        <w:tc>
          <w:tcPr>
            <w:tcW w:type="dxa" w:w="5112"/>
            <w:vAlign w:val="center"/>
          </w:tcPr>
          <w:p>
            <w:r/>
            <w:r>
              <w:rPr>
                <w:b w:val="0"/>
                <w:sz w:val="18"/>
              </w:rPr>
              <w:t>Practical skills taught during Term One</w:t>
            </w:r>
          </w:p>
        </w:tc>
      </w:tr>
      <w:tr>
        <w:tc>
          <w:tcPr>
            <w:tcW w:type="dxa" w:w="5112"/>
            <w:vAlign w:val="center"/>
            <w:shd w:fill="EAF2F8"/>
          </w:tcPr>
          <w:p>
            <w:r/>
            <w:r>
              <w:rPr>
                <w:b/>
                <w:sz w:val="18"/>
              </w:rPr>
              <w:t>Resources</w:t>
            </w:r>
          </w:p>
        </w:tc>
        <w:tc>
          <w:tcPr>
            <w:tcW w:type="dxa" w:w="5112"/>
            <w:vAlign w:val="center"/>
          </w:tcPr>
          <w:p>
            <w:r/>
            <w:r>
              <w:rPr>
                <w:b w:val="0"/>
                <w:sz w:val="18"/>
              </w:rPr>
              <w:t>Computers, examination papers, answer sheets</w:t>
            </w:r>
          </w:p>
        </w:tc>
      </w:tr>
    </w:tbl>
    <w:p>
      <w:pPr>
        <w:pStyle w:val="Heading3"/>
      </w:pPr>
      <w:r>
        <w:t>Purpose</w:t>
      </w:r>
    </w:p>
    <w:p>
      <w:r>
        <w:t>To assess learners’ ability to apply selected Computing skills practically and to support accurate marking of the examination.</w:t>
      </w:r>
    </w:p>
    <w:p>
      <w:pPr>
        <w:pStyle w:val="Heading3"/>
      </w:pPr>
      <w:r>
        <w:t>Teacher Activities</w:t>
      </w:r>
    </w:p>
    <w:p>
      <w:pPr>
        <w:pStyle w:val="ListBullet"/>
      </w:pPr>
      <w:r>
        <w:t>Provide the practical examination instructions and tasks.</w:t>
      </w:r>
    </w:p>
    <w:p>
      <w:pPr>
        <w:pStyle w:val="ListBullet"/>
      </w:pPr>
      <w:r>
        <w:t>Organise learners and equipment according to the school’s examination arrangements.</w:t>
      </w:r>
    </w:p>
    <w:p>
      <w:pPr>
        <w:pStyle w:val="ListBullet"/>
      </w:pPr>
      <w:r>
        <w:t>Supervise learners as they complete the practical tasks.</w:t>
      </w:r>
    </w:p>
    <w:p>
      <w:pPr>
        <w:pStyle w:val="ListBullet"/>
      </w:pPr>
      <w:r>
        <w:t>Collect or inspect completed practical work according to the assessment procedure.</w:t>
      </w:r>
    </w:p>
    <w:p>
      <w:pPr>
        <w:pStyle w:val="ListBullet"/>
      </w:pPr>
      <w:r>
        <w:t>Mark the theory and practical components using the approved marking scheme.</w:t>
      </w:r>
    </w:p>
    <w:p>
      <w:pPr>
        <w:pStyle w:val="ListBullet"/>
      </w:pPr>
      <w:r>
        <w:t>Record and total learners’ marks accurately.</w:t>
      </w:r>
    </w:p>
    <w:p>
      <w:pPr>
        <w:pStyle w:val="Heading3"/>
      </w:pPr>
      <w:r>
        <w:t>Learner Activities</w:t>
      </w:r>
    </w:p>
    <w:p>
      <w:pPr>
        <w:pStyle w:val="ListBullet"/>
      </w:pPr>
      <w:r>
        <w:t>Read the practical task carefully.</w:t>
      </w:r>
    </w:p>
    <w:p>
      <w:pPr>
        <w:pStyle w:val="ListBullet"/>
      </w:pPr>
      <w:r>
        <w:t>Complete the assigned practical task independently.</w:t>
      </w:r>
    </w:p>
    <w:p>
      <w:pPr>
        <w:pStyle w:val="ListBullet"/>
      </w:pPr>
      <w:r>
        <w:t>Check the accuracy of the work before submission where time permits.</w:t>
      </w:r>
    </w:p>
    <w:p>
      <w:pPr>
        <w:pStyle w:val="ListBullet"/>
      </w:pPr>
      <w:r>
        <w:t>Submit the completed work as instructed.</w:t>
      </w:r>
    </w:p>
    <w:p>
      <w:pPr>
        <w:pStyle w:val="Heading3"/>
      </w:pPr>
      <w:r>
        <w:t>Possible Practical Assessment Areas</w:t>
      </w:r>
    </w:p>
    <w:p>
      <w:pPr>
        <w:pStyle w:val="ListBullet"/>
      </w:pPr>
      <w:r>
        <w:t>Create and format a short word-processing document.</w:t>
      </w:r>
    </w:p>
    <w:p>
      <w:pPr>
        <w:pStyle w:val="ListBullet"/>
      </w:pPr>
      <w:r>
        <w:t>Insert a picture or other object into a document.</w:t>
      </w:r>
    </w:p>
    <w:p>
      <w:pPr>
        <w:pStyle w:val="ListBullet"/>
      </w:pPr>
      <w:r>
        <w:t>Enter data into a spreadsheet.</w:t>
      </w:r>
    </w:p>
    <w:p>
      <w:pPr>
        <w:pStyle w:val="ListBullet"/>
      </w:pPr>
      <w:r>
        <w:t>Use a simple formula, including SUM or AVERAGE.</w:t>
      </w:r>
    </w:p>
    <w:p>
      <w:pPr>
        <w:pStyle w:val="ListBullet"/>
      </w:pPr>
      <w:r>
        <w:t>Apply basic cell formatting.</w:t>
      </w:r>
    </w:p>
    <w:p>
      <w:pPr>
        <w:pStyle w:val="ListBullet"/>
      </w:pPr>
      <w:r>
        <w:t>Write a simple algorithm.</w:t>
      </w:r>
    </w:p>
    <w:p>
      <w:pPr>
        <w:pStyle w:val="ListBullet"/>
      </w:pPr>
      <w:r>
        <w:t>Draw a flowchart using appropriate basic symbols.</w:t>
      </w:r>
    </w:p>
    <w:p>
      <w:pPr>
        <w:pStyle w:val="Heading3"/>
      </w:pPr>
      <w:r>
        <w:t>Marking and Recording</w:t>
      </w:r>
    </w:p>
    <w:p>
      <w:pPr>
        <w:pStyle w:val="ListBullet"/>
      </w:pPr>
      <w:r>
        <w:t>Use the approved examination marking scheme.</w:t>
      </w:r>
    </w:p>
    <w:p>
      <w:pPr>
        <w:pStyle w:val="ListBullet"/>
      </w:pPr>
      <w:r>
        <w:t>Allocate marks only according to the requirements of each question or practical task.</w:t>
      </w:r>
    </w:p>
    <w:p>
      <w:pPr>
        <w:pStyle w:val="ListBullet"/>
      </w:pPr>
      <w:r>
        <w:t>Check calculations when adding learners’ scores.</w:t>
      </w:r>
    </w:p>
    <w:p>
      <w:pPr>
        <w:pStyle w:val="ListBullet"/>
      </w:pPr>
      <w:r>
        <w:t>Record marks clearly and accurately.</w:t>
      </w:r>
    </w:p>
    <w:p>
      <w:pPr>
        <w:pStyle w:val="ListBullet"/>
      </w:pPr>
      <w:r>
        <w:t>Keep examination scripts and records according to school requirements.</w:t>
      </w:r>
    </w:p>
    <w:p>
      <w:r>
        <w:br w:type="page"/>
      </w:r>
    </w:p>
    <w:p>
      <w:pPr>
        <w:pStyle w:val="Heading1"/>
      </w:pPr>
      <w:r>
        <w:t>PART III: EXAMINATION AND MARKING NOTES</w:t>
      </w:r>
    </w:p>
    <w:p>
      <w:pPr>
        <w:pStyle w:val="Heading2"/>
      </w:pPr>
      <w:r>
        <w:t>A. Examination Coverage</w:t>
      </w:r>
    </w:p>
    <w:p>
      <w:r>
        <w:t>The examination should assess only content and skills taught during Term One. The scheme identifies theory and practical assessment and lists the examination resources as examination papers, computers and answer sheets.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Area</w:t>
            </w:r>
          </w:p>
        </w:tc>
        <w:tc>
          <w:tcPr>
            <w:tcW w:type="dxa" w:w="5112"/>
            <w:vAlign w:val="center"/>
          </w:tcPr>
          <w:p>
            <w:r/>
            <w:r>
              <w:rPr>
                <w:b w:val="0"/>
                <w:sz w:val="18"/>
              </w:rPr>
              <w:t>Skills/Knowledge to Assess</w:t>
            </w:r>
          </w:p>
        </w:tc>
      </w:tr>
      <w:tr>
        <w:tc>
          <w:tcPr>
            <w:tcW w:type="dxa" w:w="5112"/>
            <w:vAlign w:val="center"/>
            <w:shd w:fill="EAF2F8"/>
          </w:tcPr>
          <w:p>
            <w:r/>
            <w:r>
              <w:rPr>
                <w:b/>
                <w:sz w:val="18"/>
              </w:rPr>
              <w:t>Computer Systems</w:t>
            </w:r>
          </w:p>
        </w:tc>
        <w:tc>
          <w:tcPr>
            <w:tcW w:type="dxa" w:w="5112"/>
            <w:vAlign w:val="center"/>
          </w:tcPr>
          <w:p>
            <w:r/>
            <w:r>
              <w:rPr>
                <w:b w:val="0"/>
                <w:sz w:val="18"/>
              </w:rPr>
              <w:t>Meaning and identification of hardware components, including external and internal components.</w:t>
            </w:r>
          </w:p>
        </w:tc>
      </w:tr>
      <w:tr>
        <w:tc>
          <w:tcPr>
            <w:tcW w:type="dxa" w:w="5112"/>
            <w:vAlign w:val="center"/>
            <w:shd w:fill="EAF2F8"/>
          </w:tcPr>
          <w:p>
            <w:r/>
            <w:r>
              <w:rPr>
                <w:b/>
                <w:sz w:val="18"/>
              </w:rPr>
              <w:t>Technology in the Community</w:t>
            </w:r>
          </w:p>
        </w:tc>
        <w:tc>
          <w:tcPr>
            <w:tcW w:type="dxa" w:w="5112"/>
            <w:vAlign w:val="center"/>
          </w:tcPr>
          <w:p>
            <w:r/>
            <w:r>
              <w:rPr>
                <w:b w:val="0"/>
                <w:sz w:val="18"/>
              </w:rPr>
              <w:t>Internet, email, social media and responsible use.</w:t>
            </w:r>
          </w:p>
        </w:tc>
      </w:tr>
      <w:tr>
        <w:tc>
          <w:tcPr>
            <w:tcW w:type="dxa" w:w="5112"/>
            <w:vAlign w:val="center"/>
            <w:shd w:fill="EAF2F8"/>
          </w:tcPr>
          <w:p>
            <w:r/>
            <w:r>
              <w:rPr>
                <w:b/>
                <w:sz w:val="18"/>
              </w:rPr>
              <w:t>Health and Safety</w:t>
            </w:r>
          </w:p>
        </w:tc>
        <w:tc>
          <w:tcPr>
            <w:tcW w:type="dxa" w:w="5112"/>
            <w:vAlign w:val="center"/>
          </w:tcPr>
          <w:p>
            <w:r/>
            <w:r>
              <w:rPr>
                <w:b w:val="0"/>
                <w:sz w:val="18"/>
              </w:rPr>
              <w:t>Cyber safety, password protection and responsible internet/social media use.</w:t>
            </w:r>
          </w:p>
        </w:tc>
      </w:tr>
      <w:tr>
        <w:tc>
          <w:tcPr>
            <w:tcW w:type="dxa" w:w="5112"/>
            <w:vAlign w:val="center"/>
            <w:shd w:fill="EAF2F8"/>
          </w:tcPr>
          <w:p>
            <w:r/>
            <w:r>
              <w:rPr>
                <w:b/>
                <w:sz w:val="18"/>
              </w:rPr>
              <w:t>Word Processing</w:t>
            </w:r>
          </w:p>
        </w:tc>
        <w:tc>
          <w:tcPr>
            <w:tcW w:type="dxa" w:w="5112"/>
            <w:vAlign w:val="center"/>
          </w:tcPr>
          <w:p>
            <w:r/>
            <w:r>
              <w:rPr>
                <w:b w:val="0"/>
                <w:sz w:val="18"/>
              </w:rPr>
              <w:t>Formatting documents and inserting pictures/other objects.</w:t>
            </w:r>
          </w:p>
        </w:tc>
      </w:tr>
      <w:tr>
        <w:tc>
          <w:tcPr>
            <w:tcW w:type="dxa" w:w="5112"/>
            <w:vAlign w:val="center"/>
            <w:shd w:fill="EAF2F8"/>
          </w:tcPr>
          <w:p>
            <w:r/>
            <w:r>
              <w:rPr>
                <w:b/>
                <w:sz w:val="18"/>
              </w:rPr>
              <w:t>Spreadsheet</w:t>
            </w:r>
          </w:p>
        </w:tc>
        <w:tc>
          <w:tcPr>
            <w:tcW w:type="dxa" w:w="5112"/>
            <w:vAlign w:val="center"/>
          </w:tcPr>
          <w:p>
            <w:r/>
            <w:r>
              <w:rPr>
                <w:b w:val="0"/>
                <w:sz w:val="18"/>
              </w:rPr>
              <w:t>Data entry, simple calculations, SUM, AVERAGE and cell formatting.</w:t>
            </w:r>
          </w:p>
        </w:tc>
      </w:tr>
      <w:tr>
        <w:tc>
          <w:tcPr>
            <w:tcW w:type="dxa" w:w="5112"/>
            <w:vAlign w:val="center"/>
            <w:shd w:fill="EAF2F8"/>
          </w:tcPr>
          <w:p>
            <w:r/>
            <w:r>
              <w:rPr>
                <w:b/>
                <w:sz w:val="18"/>
              </w:rPr>
              <w:t>Algorithms</w:t>
            </w:r>
          </w:p>
        </w:tc>
        <w:tc>
          <w:tcPr>
            <w:tcW w:type="dxa" w:w="5112"/>
            <w:vAlign w:val="center"/>
          </w:tcPr>
          <w:p>
            <w:r/>
            <w:r>
              <w:rPr>
                <w:b w:val="0"/>
                <w:sz w:val="18"/>
              </w:rPr>
              <w:t>Meaning, characteristics and writing simple step-by-step algorithms.</w:t>
            </w:r>
          </w:p>
        </w:tc>
      </w:tr>
      <w:tr>
        <w:tc>
          <w:tcPr>
            <w:tcW w:type="dxa" w:w="5112"/>
            <w:vAlign w:val="center"/>
            <w:shd w:fill="EAF2F8"/>
          </w:tcPr>
          <w:p>
            <w:r/>
            <w:r>
              <w:rPr>
                <w:b/>
                <w:sz w:val="18"/>
              </w:rPr>
              <w:t>Flowcharts</w:t>
            </w:r>
          </w:p>
        </w:tc>
        <w:tc>
          <w:tcPr>
            <w:tcW w:type="dxa" w:w="5112"/>
            <w:vAlign w:val="center"/>
          </w:tcPr>
          <w:p>
            <w:r/>
            <w:r>
              <w:rPr>
                <w:b w:val="0"/>
                <w:sz w:val="18"/>
              </w:rPr>
              <w:t>Basic symbols and representation of simple algorithms.</w:t>
            </w:r>
          </w:p>
        </w:tc>
      </w:tr>
    </w:tbl>
    <w:p>
      <w:pPr>
        <w:pStyle w:val="Heading2"/>
      </w:pPr>
      <w:r>
        <w:t>B. Suggested Practical Task Structure</w:t>
      </w:r>
    </w:p>
    <w:p>
      <w:r>
        <w:t>The following is a preparation guide for practical assessment. The actual examination questions should be set and approved according to the school’s assessment procedures.</w:t>
      </w:r>
    </w:p>
    <w:p>
      <w:r>
        <w:t>Task 1 – Word Processing</w:t>
      </w:r>
    </w:p>
    <w:p>
      <w:pPr>
        <w:pStyle w:val="ListBullet"/>
      </w:pPr>
      <w:r>
        <w:t>Type a short passage and apply appropriate formatting.</w:t>
      </w:r>
    </w:p>
    <w:p>
      <w:pPr>
        <w:pStyle w:val="ListBullet"/>
      </w:pPr>
      <w:r>
        <w:t>Insert a relevant picture or object.</w:t>
      </w:r>
    </w:p>
    <w:p>
      <w:pPr>
        <w:pStyle w:val="ListBullet"/>
      </w:pPr>
      <w:r>
        <w:t>Present the document neatly.</w:t>
      </w:r>
    </w:p>
    <w:p>
      <w:r>
        <w:t>Task 2 – Spreadsheet</w:t>
      </w:r>
    </w:p>
    <w:p>
      <w:pPr>
        <w:pStyle w:val="ListBullet"/>
      </w:pPr>
      <w:r>
        <w:t>Enter a small set of data.</w:t>
      </w:r>
    </w:p>
    <w:p>
      <w:pPr>
        <w:pStyle w:val="ListBullet"/>
      </w:pPr>
      <w:r>
        <w:t>Perform a simple calculation.</w:t>
      </w:r>
    </w:p>
    <w:p>
      <w:pPr>
        <w:pStyle w:val="ListBullet"/>
      </w:pPr>
      <w:r>
        <w:t>Use SUM and/or AVERAGE where required.</w:t>
      </w:r>
    </w:p>
    <w:p>
      <w:pPr>
        <w:pStyle w:val="ListBullet"/>
      </w:pPr>
      <w:r>
        <w:t>Format the cells appropriately.</w:t>
      </w:r>
    </w:p>
    <w:p>
      <w:r>
        <w:t>Task 3 – Algorithm and Flowchart</w:t>
      </w:r>
    </w:p>
    <w:p>
      <w:pPr>
        <w:pStyle w:val="ListBullet"/>
      </w:pPr>
      <w:r>
        <w:t>Write a simple algorithm for a stated task.</w:t>
      </w:r>
    </w:p>
    <w:p>
      <w:pPr>
        <w:pStyle w:val="ListBullet"/>
      </w:pPr>
      <w:r>
        <w:t>Draw a flowchart representing the algorithm.</w:t>
      </w:r>
    </w:p>
    <w:p>
      <w:pPr>
        <w:pStyle w:val="ListBullet"/>
      </w:pPr>
      <w:r>
        <w:t>Use appropriate symbols and arrows.</w:t>
      </w:r>
    </w:p>
    <w:p>
      <w:pPr>
        <w:pStyle w:val="Heading2"/>
      </w:pPr>
      <w:r>
        <w:t>C. Practical Marking Guidance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Word Processing</w:t>
            </w:r>
          </w:p>
        </w:tc>
        <w:tc>
          <w:tcPr>
            <w:tcW w:type="dxa" w:w="5112"/>
            <w:vAlign w:val="center"/>
          </w:tcPr>
          <w:p>
            <w:r/>
            <w:r>
              <w:rPr>
                <w:b w:val="0"/>
                <w:sz w:val="18"/>
              </w:rPr>
              <w:t>Accuracy, formatting, correct insertion/placement of object and neat presentation.</w:t>
            </w:r>
          </w:p>
        </w:tc>
      </w:tr>
      <w:tr>
        <w:tc>
          <w:tcPr>
            <w:tcW w:type="dxa" w:w="5112"/>
            <w:vAlign w:val="center"/>
            <w:shd w:fill="EAF2F8"/>
          </w:tcPr>
          <w:p>
            <w:r/>
            <w:r>
              <w:rPr>
                <w:b/>
                <w:sz w:val="18"/>
              </w:rPr>
              <w:t>Spreadsheet</w:t>
            </w:r>
          </w:p>
        </w:tc>
        <w:tc>
          <w:tcPr>
            <w:tcW w:type="dxa" w:w="5112"/>
            <w:vAlign w:val="center"/>
          </w:tcPr>
          <w:p>
            <w:r/>
            <w:r>
              <w:rPr>
                <w:b w:val="0"/>
                <w:sz w:val="18"/>
              </w:rPr>
              <w:t>Correct data entry, correct formulas/results, appropriate formatting and presentation.</w:t>
            </w:r>
          </w:p>
        </w:tc>
      </w:tr>
      <w:tr>
        <w:tc>
          <w:tcPr>
            <w:tcW w:type="dxa" w:w="5112"/>
            <w:vAlign w:val="center"/>
            <w:shd w:fill="EAF2F8"/>
          </w:tcPr>
          <w:p>
            <w:r/>
            <w:r>
              <w:rPr>
                <w:b/>
                <w:sz w:val="18"/>
              </w:rPr>
              <w:t>Algorithm</w:t>
            </w:r>
          </w:p>
        </w:tc>
        <w:tc>
          <w:tcPr>
            <w:tcW w:type="dxa" w:w="5112"/>
            <w:vAlign w:val="center"/>
          </w:tcPr>
          <w:p>
            <w:r/>
            <w:r>
              <w:rPr>
                <w:b w:val="0"/>
                <w:sz w:val="18"/>
              </w:rPr>
              <w:t>Clear instructions, correct sequence and completeness.</w:t>
            </w:r>
          </w:p>
        </w:tc>
      </w:tr>
      <w:tr>
        <w:tc>
          <w:tcPr>
            <w:tcW w:type="dxa" w:w="5112"/>
            <w:vAlign w:val="center"/>
            <w:shd w:fill="EAF2F8"/>
          </w:tcPr>
          <w:p>
            <w:r/>
            <w:r>
              <w:rPr>
                <w:b/>
                <w:sz w:val="18"/>
              </w:rPr>
              <w:t>Flowchart</w:t>
            </w:r>
          </w:p>
        </w:tc>
        <w:tc>
          <w:tcPr>
            <w:tcW w:type="dxa" w:w="5112"/>
            <w:vAlign w:val="center"/>
          </w:tcPr>
          <w:p>
            <w:r/>
            <w:r>
              <w:rPr>
                <w:b w:val="0"/>
                <w:sz w:val="18"/>
              </w:rPr>
              <w:t>Correct symbols, logical sequence, correct arrows and clear presentation.</w:t>
            </w:r>
          </w:p>
        </w:tc>
      </w:tr>
    </w:tbl>
    <w:p>
      <w:pPr>
        <w:pStyle w:val="Heading2"/>
      </w:pPr>
      <w:r>
        <w:t>D. Marking Procedure</w:t>
      </w:r>
    </w:p>
    <w:p>
      <w:pPr>
        <w:pStyle w:val="ListBullet"/>
      </w:pPr>
      <w:r>
        <w:t>Mark the theory component question by question using the approved marking scheme.</w:t>
      </w:r>
    </w:p>
    <w:p>
      <w:pPr>
        <w:pStyle w:val="ListBullet"/>
      </w:pPr>
      <w:r>
        <w:t>Mark practical work against the specific requirements of each task.</w:t>
      </w:r>
    </w:p>
    <w:p>
      <w:pPr>
        <w:pStyle w:val="ListBullet"/>
      </w:pPr>
      <w:r>
        <w:t>Accept equivalent correct answers where the marking scheme permits.</w:t>
      </w:r>
    </w:p>
    <w:p>
      <w:pPr>
        <w:pStyle w:val="ListBullet"/>
      </w:pPr>
      <w:r>
        <w:t>Recheck doubtful or borderline responses against the marking scheme.</w:t>
      </w:r>
    </w:p>
    <w:p>
      <w:pPr>
        <w:pStyle w:val="ListBullet"/>
      </w:pPr>
      <w:r>
        <w:t>Add marks carefully and verify totals.</w:t>
      </w:r>
    </w:p>
    <w:p>
      <w:pPr>
        <w:pStyle w:val="ListBullet"/>
      </w:pPr>
      <w:r>
        <w:t>Record results accurately.</w:t>
      </w:r>
    </w:p>
    <w:p>
      <w:pPr>
        <w:pStyle w:val="Heading2"/>
      </w:pPr>
      <w:r>
        <w:t>E. End-of-Term Teacher Record</w:t>
      </w:r>
    </w:p>
    <w:p>
      <w:r>
        <w:t>After marking, the teacher should ensure that examination scores are properly recorded according to the school’s assessment and reporting procedures.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Computing • Term 1 • Week 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