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BASIC 9 MATHEMATICS</w:t>
        <w:br/>
        <w:t>WEEK 15</w:t>
      </w:r>
    </w:p>
    <w:p>
      <w:pPr>
        <w:jc w:val="center"/>
      </w:pPr>
      <w:r>
        <w:t>TERM ONE • ACADEMIC YEAR 2026/2027</w:t>
      </w:r>
    </w:p>
    <w:p>
      <w:pPr>
        <w:jc w:val="center"/>
      </w:pPr>
      <w:r>
        <w:t>END-OF-TERM EXAMINATION</w:t>
      </w:r>
    </w:p>
    <w:p>
      <w:r>
        <w:t>All questions must be drawn only from topics taught during Term One.</w:t>
      </w:r>
    </w:p>
    <w:p>
      <w:r>
        <w:br w:type="page"/>
      </w:r>
    </w:p>
    <w:p>
      <w:pPr>
        <w:pStyle w:val="Heading1"/>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Week</w:t>
            </w:r>
          </w:p>
        </w:tc>
        <w:tc>
          <w:tcPr>
            <w:tcW w:type="dxa" w:w="5112"/>
          </w:tcPr>
          <w:p>
            <w:r>
              <w:t>15</w:t>
            </w:r>
          </w:p>
        </w:tc>
      </w:tr>
      <w:tr>
        <w:tc>
          <w:tcPr>
            <w:tcW w:type="dxa" w:w="5112"/>
            <w:shd w:fill="D9EAF7"/>
          </w:tcPr>
          <w:p>
            <w:r>
              <w:t>Focus</w:t>
            </w:r>
          </w:p>
        </w:tc>
        <w:tc>
          <w:tcPr>
            <w:tcW w:type="dxa" w:w="5112"/>
          </w:tcPr>
          <w:p>
            <w:r>
              <w:t>End-of-Term Examination and marking</w:t>
            </w:r>
          </w:p>
        </w:tc>
      </w:tr>
      <w:tr>
        <w:tc>
          <w:tcPr>
            <w:tcW w:type="dxa" w:w="5112"/>
            <w:shd w:fill="D9EAF7"/>
          </w:tcPr>
          <w:p>
            <w:r>
              <w:t>Coverage</w:t>
            </w:r>
          </w:p>
        </w:tc>
        <w:tc>
          <w:tcPr>
            <w:tcW w:type="dxa" w:w="5112"/>
          </w:tcPr>
          <w:p>
            <w:r>
              <w:t>All Mathematics topics taught during Term One</w:t>
            </w:r>
          </w:p>
        </w:tc>
      </w:tr>
      <w:tr>
        <w:tc>
          <w:tcPr>
            <w:tcW w:type="dxa" w:w="5112"/>
            <w:shd w:fill="D9EAF7"/>
          </w:tcPr>
          <w:p>
            <w:r>
              <w:t>Resources</w:t>
            </w:r>
          </w:p>
        </w:tc>
        <w:tc>
          <w:tcPr>
            <w:tcW w:type="dxa" w:w="5112"/>
          </w:tcPr>
          <w:p>
            <w:r>
              <w:t>Examination papers, answer sheets</w:t>
            </w:r>
          </w:p>
        </w:tc>
      </w:tr>
      <w:tr>
        <w:tc>
          <w:tcPr>
            <w:tcW w:type="dxa" w:w="5112"/>
            <w:shd w:fill="D9EAF7"/>
          </w:tcPr>
          <w:p>
            <w:r>
              <w:t>Lessons</w:t>
            </w:r>
          </w:p>
        </w:tc>
        <w:tc>
          <w:tcPr>
            <w:tcW w:type="dxa" w:w="5112"/>
          </w:tcPr>
          <w:p>
            <w:r>
              <w:t>3</w:t>
            </w:r>
          </w:p>
        </w:tc>
      </w:tr>
      <w:tr>
        <w:tc>
          <w:tcPr>
            <w:tcW w:type="dxa" w:w="5112"/>
            <w:shd w:fill="D9EAF7"/>
          </w:tcPr>
          <w:p>
            <w:r>
              <w:t>Lesson 1</w:t>
            </w:r>
          </w:p>
        </w:tc>
        <w:tc>
          <w:tcPr>
            <w:tcW w:type="dxa" w:w="5112"/>
          </w:tcPr>
          <w:p>
            <w:r>
              <w:t>Administration of the End-of-Term Examination</w:t>
            </w:r>
          </w:p>
        </w:tc>
      </w:tr>
      <w:tr>
        <w:tc>
          <w:tcPr>
            <w:tcW w:type="dxa" w:w="5112"/>
            <w:shd w:fill="D9EAF7"/>
          </w:tcPr>
          <w:p>
            <w:r>
              <w:t>Lesson 2</w:t>
            </w:r>
          </w:p>
        </w:tc>
        <w:tc>
          <w:tcPr>
            <w:tcW w:type="dxa" w:w="5112"/>
          </w:tcPr>
          <w:p>
            <w:r>
              <w:t>Completion/collection of the End-of-Term Examination</w:t>
            </w:r>
          </w:p>
        </w:tc>
      </w:tr>
      <w:tr>
        <w:tc>
          <w:tcPr>
            <w:tcW w:type="dxa" w:w="5112"/>
            <w:shd w:fill="D9EAF7"/>
          </w:tcPr>
          <w:p>
            <w:r>
              <w:t>Lesson 3</w:t>
            </w:r>
          </w:p>
        </w:tc>
        <w:tc>
          <w:tcPr>
            <w:tcW w:type="dxa" w:w="5112"/>
          </w:tcPr>
          <w:p>
            <w:r>
              <w:t>Marking, recording and feedback</w:t>
            </w:r>
          </w:p>
        </w:tc>
      </w:tr>
    </w:tbl>
    <w:p>
      <w:r>
        <w:t>The scheme assigns Week 15 to the End-of-Term Examination and marking. No new mathematical content is introduced. Examination questions should be restricted to content taught during Weeks 1–13 and revised in Week 14.</w:t>
      </w:r>
    </w:p>
    <w:p>
      <w:pPr>
        <w:pStyle w:val="Heading1"/>
      </w:pPr>
      <w:r>
        <w:t>PART II — LESSON PLANS</w:t>
      </w:r>
    </w:p>
    <w:p>
      <w:pPr>
        <w:pStyle w:val="Heading2"/>
      </w:pPr>
      <w:r>
        <w:t>Lesson Plan 1: Administration of the End-of-Term Examination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Subject</w:t>
            </w:r>
          </w:p>
        </w:tc>
        <w:tc>
          <w:tcPr>
            <w:tcW w:type="dxa" w:w="5112"/>
          </w:tcPr>
          <w:p>
            <w:r>
              <w:t>Mathematics</w:t>
            </w:r>
          </w:p>
        </w:tc>
      </w:tr>
      <w:tr>
        <w:tc>
          <w:tcPr>
            <w:tcW w:type="dxa" w:w="5112"/>
            <w:shd w:fill="D9EAF7"/>
          </w:tcPr>
          <w:p>
            <w:r>
              <w:t>Class</w:t>
            </w:r>
          </w:p>
        </w:tc>
        <w:tc>
          <w:tcPr>
            <w:tcW w:type="dxa" w:w="5112"/>
          </w:tcPr>
          <w:p>
            <w:r>
              <w:t>Basic 9</w:t>
            </w:r>
          </w:p>
        </w:tc>
      </w:tr>
      <w:tr>
        <w:tc>
          <w:tcPr>
            <w:tcW w:type="dxa" w:w="5112"/>
            <w:shd w:fill="D9EAF7"/>
          </w:tcPr>
          <w:p>
            <w:r>
              <w:t>Term</w:t>
            </w:r>
          </w:p>
        </w:tc>
        <w:tc>
          <w:tcPr>
            <w:tcW w:type="dxa" w:w="5112"/>
          </w:tcPr>
          <w:p>
            <w:r>
              <w:t>One</w:t>
            </w:r>
          </w:p>
        </w:tc>
      </w:tr>
      <w:tr>
        <w:tc>
          <w:tcPr>
            <w:tcW w:type="dxa" w:w="5112"/>
            <w:shd w:fill="D9EAF7"/>
          </w:tcPr>
          <w:p>
            <w:r>
              <w:t>Week</w:t>
            </w:r>
          </w:p>
        </w:tc>
        <w:tc>
          <w:tcPr>
            <w:tcW w:type="dxa" w:w="5112"/>
          </w:tcPr>
          <w:p>
            <w:r>
              <w:t>15</w:t>
            </w:r>
          </w:p>
        </w:tc>
      </w:tr>
      <w:tr>
        <w:tc>
          <w:tcPr>
            <w:tcW w:type="dxa" w:w="5112"/>
            <w:shd w:fill="D9EAF7"/>
          </w:tcPr>
          <w:p>
            <w:r>
              <w:t>Lesson/Period</w:t>
            </w:r>
          </w:p>
        </w:tc>
        <w:tc>
          <w:tcPr>
            <w:tcW w:type="dxa" w:w="5112"/>
          </w:tcPr>
          <w:p>
            <w:r>
              <w:t>Lesson 1</w:t>
            </w:r>
          </w:p>
        </w:tc>
      </w:tr>
      <w:tr>
        <w:tc>
          <w:tcPr>
            <w:tcW w:type="dxa" w:w="5112"/>
            <w:shd w:fill="D9EAF7"/>
          </w:tcPr>
          <w:p>
            <w:r>
              <w:t>Duration</w:t>
            </w:r>
          </w:p>
        </w:tc>
        <w:tc>
          <w:tcPr>
            <w:tcW w:type="dxa" w:w="5112"/>
          </w:tcPr>
          <w:p>
            <w:r>
              <w:t>50 minutes</w:t>
            </w:r>
          </w:p>
        </w:tc>
      </w:tr>
      <w:tr>
        <w:tc>
          <w:tcPr>
            <w:tcW w:type="dxa" w:w="5112"/>
            <w:shd w:fill="D9EAF7"/>
          </w:tcPr>
          <w:p>
            <w:r>
              <w:t>Strand</w:t>
            </w:r>
          </w:p>
        </w:tc>
        <w:tc>
          <w:tcPr>
            <w:tcW w:type="dxa" w:w="5112"/>
          </w:tcPr>
          <w:p>
            <w:r>
              <w:t>End-of-Term Assessment</w:t>
            </w:r>
          </w:p>
        </w:tc>
      </w:tr>
      <w:tr>
        <w:tc>
          <w:tcPr>
            <w:tcW w:type="dxa" w:w="5112"/>
            <w:shd w:fill="D9EAF7"/>
          </w:tcPr>
          <w:p>
            <w:r>
              <w:t>Sub-strand</w:t>
            </w:r>
          </w:p>
        </w:tc>
        <w:tc>
          <w:tcPr>
            <w:tcW w:type="dxa" w:w="5112"/>
          </w:tcPr>
          <w:p>
            <w:r>
              <w:t>End-of-Term Examination</w:t>
            </w:r>
          </w:p>
        </w:tc>
      </w:tr>
      <w:tr>
        <w:tc>
          <w:tcPr>
            <w:tcW w:type="dxa" w:w="5112"/>
            <w:shd w:fill="D9EAF7"/>
          </w:tcPr>
          <w:p>
            <w:r>
              <w:t>Content Standard / Indicator</w:t>
            </w:r>
          </w:p>
        </w:tc>
        <w:tc>
          <w:tcPr>
            <w:tcW w:type="dxa" w:w="5112"/>
          </w:tcPr>
          <w:p>
            <w:r>
              <w:t>All topics covered in Term One</w:t>
            </w:r>
          </w:p>
        </w:tc>
      </w:tr>
      <w:tr>
        <w:tc>
          <w:tcPr>
            <w:tcW w:type="dxa" w:w="5112"/>
            <w:shd w:fill="D9EAF7"/>
          </w:tcPr>
          <w:p>
            <w:r>
              <w:t>Focus</w:t>
            </w:r>
          </w:p>
        </w:tc>
        <w:tc>
          <w:tcPr>
            <w:tcW w:type="dxa" w:w="5112"/>
          </w:tcPr>
          <w:p>
            <w:r>
              <w:t>Conducting the written Mathematics examination fairly and systematically</w:t>
            </w:r>
          </w:p>
        </w:tc>
      </w:tr>
      <w:tr>
        <w:tc>
          <w:tcPr>
            <w:tcW w:type="dxa" w:w="5112"/>
            <w:shd w:fill="D9EAF7"/>
          </w:tcPr>
          <w:p>
            <w:r>
              <w:t>Resources</w:t>
            </w:r>
          </w:p>
        </w:tc>
        <w:tc>
          <w:tcPr>
            <w:tcW w:type="dxa" w:w="5112"/>
          </w:tcPr>
          <w:p>
            <w:r>
              <w:t>Examination papers, answer sheets, exercise books, pens/pencils</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Previous knowledge</w:t>
            </w:r>
          </w:p>
        </w:tc>
        <w:tc>
          <w:tcPr>
            <w:tcW w:type="dxa" w:w="5112"/>
          </w:tcPr>
          <w:p>
            <w:r>
              <w:t>Learners have completed the Term One Mathematics topics and Week 14 revision.</w:t>
            </w:r>
          </w:p>
        </w:tc>
      </w:tr>
      <w:tr>
        <w:tc>
          <w:tcPr>
            <w:tcW w:type="dxa" w:w="5112"/>
            <w:shd w:fill="D9EAF7"/>
          </w:tcPr>
          <w:p>
            <w:r>
              <w:t>Learning objectives</w:t>
            </w:r>
          </w:p>
        </w:tc>
        <w:tc>
          <w:tcPr>
            <w:tcW w:type="dxa" w:w="5112"/>
          </w:tcPr>
          <w:p>
            <w:r>
              <w:t>By the end of the lesson, learners should be able to:</w:t>
            </w:r>
          </w:p>
        </w:tc>
      </w:tr>
    </w:tbl>
    <w:p>
      <w:pPr>
        <w:pStyle w:val="ListBullet"/>
      </w:pPr>
      <w:r>
        <w:t>Demonstrate understanding of the Term One Mathematics content through independent examination work.</w:t>
      </w:r>
    </w:p>
    <w:p>
      <w:pPr>
        <w:pStyle w:val="ListBullet"/>
      </w:pPr>
      <w:r>
        <w:t>Apply appropriate mathematical procedures and show working clearly.</w:t>
      </w:r>
    </w:p>
    <w:p>
      <w:pPr>
        <w:pStyle w:val="ListBullet"/>
      </w:pPr>
      <w:r>
        <w:t>Follow examination instructions honestly and responsibly.</w:t>
      </w:r>
    </w:p>
    <w:p>
      <w:r>
        <w:t>Core competencies: Critical thinking and problem solving; communication and collaboration.</w:t>
      </w:r>
    </w:p>
    <w:p>
      <w:r>
        <w:t>Values: Honesty, responsibility, discipline, accuracy and perseverance.</w:t>
      </w:r>
    </w:p>
    <w:p>
      <w:pPr>
        <w:pStyle w:val="Heading3"/>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Opening</w:t>
            </w:r>
          </w:p>
        </w:tc>
        <w:tc>
          <w:tcPr>
            <w:tcW w:type="dxa" w:w="3408"/>
          </w:tcPr>
          <w:p>
            <w:r>
              <w:t>Arrange learners, distribute examination materials and state the examination rules and time allowed.</w:t>
            </w:r>
          </w:p>
        </w:tc>
        <w:tc>
          <w:tcPr>
            <w:tcW w:type="dxa" w:w="3408"/>
          </w:tcPr>
          <w:p>
            <w:r>
              <w:t>Settle down, receive materials and listen to instructions.</w:t>
            </w:r>
          </w:p>
        </w:tc>
      </w:tr>
      <w:tr>
        <w:tc>
          <w:tcPr>
            <w:tcW w:type="dxa" w:w="3408"/>
          </w:tcPr>
          <w:p>
            <w:r>
              <w:t>Instructions</w:t>
            </w:r>
          </w:p>
        </w:tc>
        <w:tc>
          <w:tcPr>
            <w:tcW w:type="dxa" w:w="3408"/>
          </w:tcPr>
          <w:p>
            <w:r>
              <w:t>Explain how to fill in required details, how to respond to questions, the need to show working and the procedure for asking procedural questions.</w:t>
            </w:r>
          </w:p>
        </w:tc>
        <w:tc>
          <w:tcPr>
            <w:tcW w:type="dxa" w:w="3408"/>
          </w:tcPr>
          <w:p>
            <w:r>
              <w:t>Read instructions carefully and ask only necessary procedural questions.</w:t>
            </w:r>
          </w:p>
        </w:tc>
      </w:tr>
      <w:tr>
        <w:tc>
          <w:tcPr>
            <w:tcW w:type="dxa" w:w="3408"/>
          </w:tcPr>
          <w:p>
            <w:r>
              <w:t>Examination</w:t>
            </w:r>
          </w:p>
        </w:tc>
        <w:tc>
          <w:tcPr>
            <w:tcW w:type="dxa" w:w="3408"/>
          </w:tcPr>
          <w:p>
            <w:r>
              <w:t>Supervise the examination, maintain a quiet environment and monitor time without giving mathematical assistance.</w:t>
            </w:r>
          </w:p>
        </w:tc>
        <w:tc>
          <w:tcPr>
            <w:tcW w:type="dxa" w:w="3408"/>
          </w:tcPr>
          <w:p>
            <w:r>
              <w:t>Work independently and manage time.</w:t>
            </w:r>
          </w:p>
        </w:tc>
      </w:tr>
      <w:tr>
        <w:tc>
          <w:tcPr>
            <w:tcW w:type="dxa" w:w="3408"/>
          </w:tcPr>
          <w:p>
            <w:r>
              <w:t>Time reminder</w:t>
            </w:r>
          </w:p>
        </w:tc>
        <w:tc>
          <w:tcPr>
            <w:tcW w:type="dxa" w:w="3408"/>
          </w:tcPr>
          <w:p>
            <w:r>
              <w:t>Give an appropriate time warning without discussing answers.</w:t>
            </w:r>
          </w:p>
        </w:tc>
        <w:tc>
          <w:tcPr>
            <w:tcW w:type="dxa" w:w="3408"/>
          </w:tcPr>
          <w:p>
            <w:r>
              <w:t>Review unfinished work and manage remaining time.</w:t>
            </w:r>
          </w:p>
        </w:tc>
      </w:tr>
      <w:tr>
        <w:tc>
          <w:tcPr>
            <w:tcW w:type="dxa" w:w="3408"/>
          </w:tcPr>
          <w:p>
            <w:r>
              <w:t>Closure</w:t>
            </w:r>
          </w:p>
        </w:tc>
        <w:tc>
          <w:tcPr>
            <w:tcW w:type="dxa" w:w="3408"/>
          </w:tcPr>
          <w:p>
            <w:r>
              <w:t>Collect scripts systematically and check that each learner has submitted a script.</w:t>
            </w:r>
          </w:p>
        </w:tc>
        <w:tc>
          <w:tcPr>
            <w:tcW w:type="dxa" w:w="3408"/>
          </w:tcPr>
          <w:p>
            <w:r>
              <w:t>Submit scripts and remain orderly until dismissed.</w:t>
            </w:r>
          </w:p>
        </w:tc>
      </w:tr>
    </w:tbl>
    <w:p>
      <w:pPr>
        <w:pStyle w:val="Heading3"/>
      </w:pPr>
      <w:r>
        <w:t>Assessment</w:t>
      </w:r>
    </w:p>
    <w:p>
      <w:pPr>
        <w:pStyle w:val="ListBullet"/>
      </w:pPr>
      <w:r>
        <w:t>Completion and submission of the examination script.</w:t>
      </w:r>
    </w:p>
    <w:p>
      <w:pPr>
        <w:pStyle w:val="ListBullet"/>
      </w:pPr>
      <w:r>
        <w:t>Correct use of working, units and mathematical notation where required.</w:t>
      </w:r>
    </w:p>
    <w:p>
      <w:pPr>
        <w:pStyle w:val="ListBullet"/>
      </w:pPr>
      <w:r>
        <w:t>Compliance with examination rules.</w:t>
      </w:r>
    </w:p>
    <w:p>
      <w:pPr>
        <w:pStyle w:val="Heading3"/>
      </w:pPr>
      <w:r>
        <w:t>Differentiation / Support</w:t>
      </w:r>
    </w:p>
    <w:p>
      <w:r>
        <w:t>Provide only procedural clarification and reasonable access arrangements already established by the school. Do not provide mathematical clues or solutions.</w:t>
      </w:r>
    </w:p>
    <w:p>
      <w:pPr>
        <w:pStyle w:val="Heading3"/>
      </w:pPr>
      <w:r>
        <w:t>Homework / Follow-up</w:t>
      </w:r>
    </w:p>
    <w:p>
      <w:r>
        <w:t>No new written homework is required. Learners should keep their revision materials for later feedback.</w:t>
      </w:r>
    </w:p>
    <w:p>
      <w:r>
        <w:br w:type="page"/>
      </w:r>
    </w:p>
    <w:p>
      <w:pPr>
        <w:pStyle w:val="Heading2"/>
      </w:pPr>
      <w:r>
        <w:t>Lesson Notes: Administration of the End-of-Term Examination</w:t>
      </w:r>
    </w:p>
    <w:p>
      <w:pPr>
        <w:pStyle w:val="Heading3"/>
      </w:pPr>
      <w:r>
        <w:t>Examination Coverage</w:t>
      </w:r>
    </w:p>
    <w:p>
      <w:r>
        <w:t>The examination should assess only the Mathematics content taught during Term One: real numbers and standard form; significant figures; ratios, rates and proportion; expansion and factorisation; linear and simultaneous equations; properties of triangles, quadrilaterals and polygons; area; volume; and applications of area and volume.</w:t>
      </w:r>
    </w:p>
    <w:p>
      <w:pPr>
        <w:pStyle w:val="Heading3"/>
      </w:pPr>
      <w:r>
        <w:t>Teacher's Role</w:t>
      </w:r>
    </w:p>
    <w:p>
      <w:r>
        <w:t>The teacher prepares or administers the approved examination paper, ensures that the examination environment is orderly, keeps accurate time and maintains examination integrity. Mathematical answers or hints should not be supplied during the examination.</w:t>
      </w:r>
    </w:p>
    <w:p>
      <w:pPr>
        <w:pStyle w:val="Heading3"/>
      </w:pPr>
      <w:r>
        <w:t>Learner's Role</w:t>
      </w:r>
    </w:p>
    <w:p>
      <w:r>
        <w:t>Learners should read each question carefully, show necessary working, use correct units, check calculations and manage their time. They should work independently.</w:t>
      </w:r>
    </w:p>
    <w:p>
      <w:pPr>
        <w:pStyle w:val="Heading3"/>
      </w:pPr>
      <w:r>
        <w:t>Important Examination Practices</w:t>
      </w:r>
    </w:p>
    <w:p>
      <w:r>
        <w:t>Ensure names/index details are completed correctly. Number answers clearly. Do not leave required questions unanswered without attempting them. Check signs, units, decimal places and final answers before submission.</w:t>
      </w:r>
    </w:p>
    <w:p>
      <w:pPr>
        <w:pStyle w:val="Heading2"/>
      </w:pPr>
      <w:r>
        <w:t>Lesson Plan 2: Completion and Collection of the End-of-Term Examination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Subject</w:t>
            </w:r>
          </w:p>
        </w:tc>
        <w:tc>
          <w:tcPr>
            <w:tcW w:type="dxa" w:w="5112"/>
          </w:tcPr>
          <w:p>
            <w:r>
              <w:t>Mathematics</w:t>
            </w:r>
          </w:p>
        </w:tc>
      </w:tr>
      <w:tr>
        <w:tc>
          <w:tcPr>
            <w:tcW w:type="dxa" w:w="5112"/>
            <w:shd w:fill="D9EAF7"/>
          </w:tcPr>
          <w:p>
            <w:r>
              <w:t>Class</w:t>
            </w:r>
          </w:p>
        </w:tc>
        <w:tc>
          <w:tcPr>
            <w:tcW w:type="dxa" w:w="5112"/>
          </w:tcPr>
          <w:p>
            <w:r>
              <w:t>Basic 9</w:t>
            </w:r>
          </w:p>
        </w:tc>
      </w:tr>
      <w:tr>
        <w:tc>
          <w:tcPr>
            <w:tcW w:type="dxa" w:w="5112"/>
            <w:shd w:fill="D9EAF7"/>
          </w:tcPr>
          <w:p>
            <w:r>
              <w:t>Term</w:t>
            </w:r>
          </w:p>
        </w:tc>
        <w:tc>
          <w:tcPr>
            <w:tcW w:type="dxa" w:w="5112"/>
          </w:tcPr>
          <w:p>
            <w:r>
              <w:t>One</w:t>
            </w:r>
          </w:p>
        </w:tc>
      </w:tr>
      <w:tr>
        <w:tc>
          <w:tcPr>
            <w:tcW w:type="dxa" w:w="5112"/>
            <w:shd w:fill="D9EAF7"/>
          </w:tcPr>
          <w:p>
            <w:r>
              <w:t>Week</w:t>
            </w:r>
          </w:p>
        </w:tc>
        <w:tc>
          <w:tcPr>
            <w:tcW w:type="dxa" w:w="5112"/>
          </w:tcPr>
          <w:p>
            <w:r>
              <w:t>15</w:t>
            </w:r>
          </w:p>
        </w:tc>
      </w:tr>
      <w:tr>
        <w:tc>
          <w:tcPr>
            <w:tcW w:type="dxa" w:w="5112"/>
            <w:shd w:fill="D9EAF7"/>
          </w:tcPr>
          <w:p>
            <w:r>
              <w:t>Lesson/Period</w:t>
            </w:r>
          </w:p>
        </w:tc>
        <w:tc>
          <w:tcPr>
            <w:tcW w:type="dxa" w:w="5112"/>
          </w:tcPr>
          <w:p>
            <w:r>
              <w:t>Lesson 2</w:t>
            </w:r>
          </w:p>
        </w:tc>
      </w:tr>
      <w:tr>
        <w:tc>
          <w:tcPr>
            <w:tcW w:type="dxa" w:w="5112"/>
            <w:shd w:fill="D9EAF7"/>
          </w:tcPr>
          <w:p>
            <w:r>
              <w:t>Duration</w:t>
            </w:r>
          </w:p>
        </w:tc>
        <w:tc>
          <w:tcPr>
            <w:tcW w:type="dxa" w:w="5112"/>
          </w:tcPr>
          <w:p>
            <w:r>
              <w:t>50 minutes</w:t>
            </w:r>
          </w:p>
        </w:tc>
      </w:tr>
      <w:tr>
        <w:tc>
          <w:tcPr>
            <w:tcW w:type="dxa" w:w="5112"/>
            <w:shd w:fill="D9EAF7"/>
          </w:tcPr>
          <w:p>
            <w:r>
              <w:t>Strand</w:t>
            </w:r>
          </w:p>
        </w:tc>
        <w:tc>
          <w:tcPr>
            <w:tcW w:type="dxa" w:w="5112"/>
          </w:tcPr>
          <w:p>
            <w:r>
              <w:t>End-of-Term Assessment</w:t>
            </w:r>
          </w:p>
        </w:tc>
      </w:tr>
      <w:tr>
        <w:tc>
          <w:tcPr>
            <w:tcW w:type="dxa" w:w="5112"/>
            <w:shd w:fill="D9EAF7"/>
          </w:tcPr>
          <w:p>
            <w:r>
              <w:t>Sub-strand</w:t>
            </w:r>
          </w:p>
        </w:tc>
        <w:tc>
          <w:tcPr>
            <w:tcW w:type="dxa" w:w="5112"/>
          </w:tcPr>
          <w:p>
            <w:r>
              <w:t>End-of-Term Examination</w:t>
            </w:r>
          </w:p>
        </w:tc>
      </w:tr>
      <w:tr>
        <w:tc>
          <w:tcPr>
            <w:tcW w:type="dxa" w:w="5112"/>
            <w:shd w:fill="D9EAF7"/>
          </w:tcPr>
          <w:p>
            <w:r>
              <w:t>Content Standard / Indicator</w:t>
            </w:r>
          </w:p>
        </w:tc>
        <w:tc>
          <w:tcPr>
            <w:tcW w:type="dxa" w:w="5112"/>
          </w:tcPr>
          <w:p>
            <w:r>
              <w:t>All topics covered in Term One</w:t>
            </w:r>
          </w:p>
        </w:tc>
      </w:tr>
      <w:tr>
        <w:tc>
          <w:tcPr>
            <w:tcW w:type="dxa" w:w="5112"/>
            <w:shd w:fill="D9EAF7"/>
          </w:tcPr>
          <w:p>
            <w:r>
              <w:t>Focus</w:t>
            </w:r>
          </w:p>
        </w:tc>
        <w:tc>
          <w:tcPr>
            <w:tcW w:type="dxa" w:w="5112"/>
          </w:tcPr>
          <w:p>
            <w:r>
              <w:t>Completion, checking and secure collection of examination scripts</w:t>
            </w:r>
          </w:p>
        </w:tc>
      </w:tr>
      <w:tr>
        <w:tc>
          <w:tcPr>
            <w:tcW w:type="dxa" w:w="5112"/>
            <w:shd w:fill="D9EAF7"/>
          </w:tcPr>
          <w:p>
            <w:r>
              <w:t>Resources</w:t>
            </w:r>
          </w:p>
        </w:tc>
        <w:tc>
          <w:tcPr>
            <w:tcW w:type="dxa" w:w="5112"/>
          </w:tcPr>
          <w:p>
            <w:r>
              <w:t>Examination papers, answer sheets, exercise books, pens/pencils</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Previous knowledge</w:t>
            </w:r>
          </w:p>
        </w:tc>
        <w:tc>
          <w:tcPr>
            <w:tcW w:type="dxa" w:w="5112"/>
          </w:tcPr>
          <w:p>
            <w:r>
              <w:t>Learners have completed the Term One Mathematics topics and Week 14 revision.</w:t>
            </w:r>
          </w:p>
        </w:tc>
      </w:tr>
      <w:tr>
        <w:tc>
          <w:tcPr>
            <w:tcW w:type="dxa" w:w="5112"/>
            <w:shd w:fill="D9EAF7"/>
          </w:tcPr>
          <w:p>
            <w:r>
              <w:t>Learning objectives</w:t>
            </w:r>
          </w:p>
        </w:tc>
        <w:tc>
          <w:tcPr>
            <w:tcW w:type="dxa" w:w="5112"/>
          </w:tcPr>
          <w:p>
            <w:r>
              <w:t>By the end of the lesson, learners should be able to:</w:t>
            </w:r>
          </w:p>
        </w:tc>
      </w:tr>
    </w:tbl>
    <w:p>
      <w:pPr>
        <w:pStyle w:val="ListBullet"/>
      </w:pPr>
      <w:r>
        <w:t>Complete outstanding examination questions independently.</w:t>
      </w:r>
    </w:p>
    <w:p>
      <w:pPr>
        <w:pStyle w:val="ListBullet"/>
      </w:pPr>
      <w:r>
        <w:t>Review answers for calculation, notation and unit errors before submission.</w:t>
      </w:r>
    </w:p>
    <w:p>
      <w:pPr>
        <w:pStyle w:val="ListBullet"/>
      </w:pPr>
      <w:r>
        <w:t>Submit examination work correctly and responsibly.</w:t>
      </w:r>
    </w:p>
    <w:p>
      <w:r>
        <w:t>Core competencies: Critical thinking and problem solving; communication and collaboration.</w:t>
      </w:r>
    </w:p>
    <w:p>
      <w:r>
        <w:t>Values: Honesty, responsibility, discipline, accuracy and perseverance.</w:t>
      </w:r>
    </w:p>
    <w:p>
      <w:pPr>
        <w:pStyle w:val="Heading3"/>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Opening</w:t>
            </w:r>
          </w:p>
        </w:tc>
        <w:tc>
          <w:tcPr>
            <w:tcW w:type="dxa" w:w="3408"/>
          </w:tcPr>
          <w:p>
            <w:r>
              <w:t>Remind learners of the remaining examination time and submission procedure.</w:t>
            </w:r>
          </w:p>
        </w:tc>
        <w:tc>
          <w:tcPr>
            <w:tcW w:type="dxa" w:w="3408"/>
          </w:tcPr>
          <w:p>
            <w:r>
              <w:t>Prepare examination materials and continue work.</w:t>
            </w:r>
          </w:p>
        </w:tc>
      </w:tr>
      <w:tr>
        <w:tc>
          <w:tcPr>
            <w:tcW w:type="dxa" w:w="3408"/>
          </w:tcPr>
          <w:p>
            <w:r>
              <w:t>Examination continuation</w:t>
            </w:r>
          </w:p>
        </w:tc>
        <w:tc>
          <w:tcPr>
            <w:tcW w:type="dxa" w:w="3408"/>
          </w:tcPr>
          <w:p>
            <w:r>
              <w:t>Supervise learners while they complete the examination. Give time reminders at suitable intervals.</w:t>
            </w:r>
          </w:p>
        </w:tc>
        <w:tc>
          <w:tcPr>
            <w:tcW w:type="dxa" w:w="3408"/>
          </w:tcPr>
          <w:p>
            <w:r>
              <w:t>Complete questions and check working.</w:t>
            </w:r>
          </w:p>
        </w:tc>
      </w:tr>
      <w:tr>
        <w:tc>
          <w:tcPr>
            <w:tcW w:type="dxa" w:w="3408"/>
          </w:tcPr>
          <w:p>
            <w:r>
              <w:t>Final checking</w:t>
            </w:r>
          </w:p>
        </w:tc>
        <w:tc>
          <w:tcPr>
            <w:tcW w:type="dxa" w:w="3408"/>
          </w:tcPr>
          <w:p>
            <w:r>
              <w:t>Remind learners to check names, question numbers, calculations, units and unanswered questions.</w:t>
            </w:r>
          </w:p>
        </w:tc>
        <w:tc>
          <w:tcPr>
            <w:tcW w:type="dxa" w:w="3408"/>
          </w:tcPr>
          <w:p>
            <w:r>
              <w:t>Review the script without communicating with others.</w:t>
            </w:r>
          </w:p>
        </w:tc>
      </w:tr>
      <w:tr>
        <w:tc>
          <w:tcPr>
            <w:tcW w:type="dxa" w:w="3408"/>
          </w:tcPr>
          <w:p>
            <w:r>
              <w:t>Collection</w:t>
            </w:r>
          </w:p>
        </w:tc>
        <w:tc>
          <w:tcPr>
            <w:tcW w:type="dxa" w:w="3408"/>
          </w:tcPr>
          <w:p>
            <w:r>
              <w:t>Collect scripts systematically and count/check them against the attendance list.</w:t>
            </w:r>
          </w:p>
        </w:tc>
        <w:tc>
          <w:tcPr>
            <w:tcW w:type="dxa" w:w="3408"/>
          </w:tcPr>
          <w:p>
            <w:r>
              <w:t>Submit scripts and remain seated as instructed.</w:t>
            </w:r>
          </w:p>
        </w:tc>
      </w:tr>
      <w:tr>
        <w:tc>
          <w:tcPr>
            <w:tcW w:type="dxa" w:w="3408"/>
          </w:tcPr>
          <w:p>
            <w:r>
              <w:t>Closure</w:t>
            </w:r>
          </w:p>
        </w:tc>
        <w:tc>
          <w:tcPr>
            <w:tcW w:type="dxa" w:w="3408"/>
          </w:tcPr>
          <w:p>
            <w:r>
              <w:t>Secure the scripts and explain that marking will follow the examination process.</w:t>
            </w:r>
          </w:p>
        </w:tc>
        <w:tc>
          <w:tcPr>
            <w:tcW w:type="dxa" w:w="3408"/>
          </w:tcPr>
          <w:p>
            <w:r>
              <w:t>Listen and leave the examination area orderly.</w:t>
            </w:r>
          </w:p>
        </w:tc>
      </w:tr>
    </w:tbl>
    <w:p>
      <w:pPr>
        <w:pStyle w:val="Heading3"/>
      </w:pPr>
      <w:r>
        <w:t>Assessment</w:t>
      </w:r>
    </w:p>
    <w:p>
      <w:pPr>
        <w:pStyle w:val="ListBullet"/>
      </w:pPr>
      <w:r>
        <w:t>Script submitted and correctly identified.</w:t>
      </w:r>
    </w:p>
    <w:p>
      <w:pPr>
        <w:pStyle w:val="ListBullet"/>
      </w:pPr>
      <w:r>
        <w:t>Evidence of checking and complete working where required.</w:t>
      </w:r>
    </w:p>
    <w:p>
      <w:pPr>
        <w:pStyle w:val="ListBullet"/>
      </w:pPr>
      <w:r>
        <w:t>Adherence to examination procedures.</w:t>
      </w:r>
    </w:p>
    <w:p>
      <w:pPr>
        <w:pStyle w:val="Heading3"/>
      </w:pPr>
      <w:r>
        <w:t>Differentiation / Support</w:t>
      </w:r>
    </w:p>
    <w:p>
      <w:r>
        <w:t>Support is limited to established procedural/access arrangements; no content assistance should be given during the examination.</w:t>
      </w:r>
    </w:p>
    <w:p>
      <w:pPr>
        <w:pStyle w:val="Heading3"/>
      </w:pPr>
      <w:r>
        <w:t>Homework / Follow-up</w:t>
      </w:r>
    </w:p>
    <w:p>
      <w:r>
        <w:t>No new mathematical homework. Learners may privately review topics they found difficult for later feedback.</w:t>
      </w:r>
    </w:p>
    <w:p>
      <w:r>
        <w:br w:type="page"/>
      </w:r>
    </w:p>
    <w:p>
      <w:pPr>
        <w:pStyle w:val="Heading2"/>
      </w:pPr>
      <w:r>
        <w:t>Lesson Notes: Completion and Collection of the End-of-Term Examination</w:t>
      </w:r>
    </w:p>
    <w:p>
      <w:pPr>
        <w:pStyle w:val="Heading3"/>
      </w:pPr>
      <w:r>
        <w:t>Final Checking Procedure</w:t>
      </w:r>
    </w:p>
    <w:p>
      <w:r>
        <w:t>Before submitting, learners should check that their name or required identification is present, question numbers are clear, calculations have been reviewed, units have been included where required and no intended question has been accidentally skipped.</w:t>
      </w:r>
    </w:p>
    <w:p>
      <w:pPr>
        <w:pStyle w:val="Heading3"/>
      </w:pPr>
      <w:r>
        <w:t>Collection Procedure</w:t>
      </w:r>
    </w:p>
    <w:p>
      <w:r>
        <w:t>Scripts should be collected in an orderly manner and kept secure. The teacher should verify that the number of scripts collected corresponds with the learners who wrote the examination.</w:t>
      </w:r>
    </w:p>
    <w:p>
      <w:pPr>
        <w:pStyle w:val="Heading3"/>
      </w:pPr>
      <w:r>
        <w:t>After the Examination</w:t>
      </w:r>
    </w:p>
    <w:p>
      <w:r>
        <w:t>Do not discuss individual answers in a way that compromises the marking process. Preserve the scripts and examination materials for marking and record keeping.</w:t>
      </w:r>
    </w:p>
    <w:p>
      <w:pPr>
        <w:pStyle w:val="Heading3"/>
      </w:pPr>
      <w:r>
        <w:t>Transition to Marking</w:t>
      </w:r>
    </w:p>
    <w:p>
      <w:r>
        <w:t>The next stage is to mark the scripts consistently using an agreed marking scheme and to identify common strengths and difficulties.</w:t>
      </w:r>
    </w:p>
    <w:p>
      <w:pPr>
        <w:pStyle w:val="Heading2"/>
      </w:pPr>
      <w:r>
        <w:t>Lesson Plan 3: Marking, Recording and Feedback</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Subject</w:t>
            </w:r>
          </w:p>
        </w:tc>
        <w:tc>
          <w:tcPr>
            <w:tcW w:type="dxa" w:w="5112"/>
          </w:tcPr>
          <w:p>
            <w:r>
              <w:t>Mathematics</w:t>
            </w:r>
          </w:p>
        </w:tc>
      </w:tr>
      <w:tr>
        <w:tc>
          <w:tcPr>
            <w:tcW w:type="dxa" w:w="5112"/>
            <w:shd w:fill="D9EAF7"/>
          </w:tcPr>
          <w:p>
            <w:r>
              <w:t>Class</w:t>
            </w:r>
          </w:p>
        </w:tc>
        <w:tc>
          <w:tcPr>
            <w:tcW w:type="dxa" w:w="5112"/>
          </w:tcPr>
          <w:p>
            <w:r>
              <w:t>Basic 9</w:t>
            </w:r>
          </w:p>
        </w:tc>
      </w:tr>
      <w:tr>
        <w:tc>
          <w:tcPr>
            <w:tcW w:type="dxa" w:w="5112"/>
            <w:shd w:fill="D9EAF7"/>
          </w:tcPr>
          <w:p>
            <w:r>
              <w:t>Term</w:t>
            </w:r>
          </w:p>
        </w:tc>
        <w:tc>
          <w:tcPr>
            <w:tcW w:type="dxa" w:w="5112"/>
          </w:tcPr>
          <w:p>
            <w:r>
              <w:t>One</w:t>
            </w:r>
          </w:p>
        </w:tc>
      </w:tr>
      <w:tr>
        <w:tc>
          <w:tcPr>
            <w:tcW w:type="dxa" w:w="5112"/>
            <w:shd w:fill="D9EAF7"/>
          </w:tcPr>
          <w:p>
            <w:r>
              <w:t>Week</w:t>
            </w:r>
          </w:p>
        </w:tc>
        <w:tc>
          <w:tcPr>
            <w:tcW w:type="dxa" w:w="5112"/>
          </w:tcPr>
          <w:p>
            <w:r>
              <w:t>15</w:t>
            </w:r>
          </w:p>
        </w:tc>
      </w:tr>
      <w:tr>
        <w:tc>
          <w:tcPr>
            <w:tcW w:type="dxa" w:w="5112"/>
            <w:shd w:fill="D9EAF7"/>
          </w:tcPr>
          <w:p>
            <w:r>
              <w:t>Lesson/Period</w:t>
            </w:r>
          </w:p>
        </w:tc>
        <w:tc>
          <w:tcPr>
            <w:tcW w:type="dxa" w:w="5112"/>
          </w:tcPr>
          <w:p>
            <w:r>
              <w:t>Lesson 3</w:t>
            </w:r>
          </w:p>
        </w:tc>
      </w:tr>
      <w:tr>
        <w:tc>
          <w:tcPr>
            <w:tcW w:type="dxa" w:w="5112"/>
            <w:shd w:fill="D9EAF7"/>
          </w:tcPr>
          <w:p>
            <w:r>
              <w:t>Duration</w:t>
            </w:r>
          </w:p>
        </w:tc>
        <w:tc>
          <w:tcPr>
            <w:tcW w:type="dxa" w:w="5112"/>
          </w:tcPr>
          <w:p>
            <w:r>
              <w:t>50 minutes</w:t>
            </w:r>
          </w:p>
        </w:tc>
      </w:tr>
      <w:tr>
        <w:tc>
          <w:tcPr>
            <w:tcW w:type="dxa" w:w="5112"/>
            <w:shd w:fill="D9EAF7"/>
          </w:tcPr>
          <w:p>
            <w:r>
              <w:t>Strand</w:t>
            </w:r>
          </w:p>
        </w:tc>
        <w:tc>
          <w:tcPr>
            <w:tcW w:type="dxa" w:w="5112"/>
          </w:tcPr>
          <w:p>
            <w:r>
              <w:t>End-of-Term Assessment</w:t>
            </w:r>
          </w:p>
        </w:tc>
      </w:tr>
      <w:tr>
        <w:tc>
          <w:tcPr>
            <w:tcW w:type="dxa" w:w="5112"/>
            <w:shd w:fill="D9EAF7"/>
          </w:tcPr>
          <w:p>
            <w:r>
              <w:t>Sub-strand</w:t>
            </w:r>
          </w:p>
        </w:tc>
        <w:tc>
          <w:tcPr>
            <w:tcW w:type="dxa" w:w="5112"/>
          </w:tcPr>
          <w:p>
            <w:r>
              <w:t>End-of-Term Examination</w:t>
            </w:r>
          </w:p>
        </w:tc>
      </w:tr>
      <w:tr>
        <w:tc>
          <w:tcPr>
            <w:tcW w:type="dxa" w:w="5112"/>
            <w:shd w:fill="D9EAF7"/>
          </w:tcPr>
          <w:p>
            <w:r>
              <w:t>Content Standard / Indicator</w:t>
            </w:r>
          </w:p>
        </w:tc>
        <w:tc>
          <w:tcPr>
            <w:tcW w:type="dxa" w:w="5112"/>
          </w:tcPr>
          <w:p>
            <w:r>
              <w:t>All topics covered in Term One</w:t>
            </w:r>
          </w:p>
        </w:tc>
      </w:tr>
      <w:tr>
        <w:tc>
          <w:tcPr>
            <w:tcW w:type="dxa" w:w="5112"/>
            <w:shd w:fill="D9EAF7"/>
          </w:tcPr>
          <w:p>
            <w:r>
              <w:t>Focus</w:t>
            </w:r>
          </w:p>
        </w:tc>
        <w:tc>
          <w:tcPr>
            <w:tcW w:type="dxa" w:w="5112"/>
          </w:tcPr>
          <w:p>
            <w:r>
              <w:t>Marking the examination and using results to identify learning needs</w:t>
            </w:r>
          </w:p>
        </w:tc>
      </w:tr>
      <w:tr>
        <w:tc>
          <w:tcPr>
            <w:tcW w:type="dxa" w:w="5112"/>
            <w:shd w:fill="D9EAF7"/>
          </w:tcPr>
          <w:p>
            <w:r>
              <w:t>Resources</w:t>
            </w:r>
          </w:p>
        </w:tc>
        <w:tc>
          <w:tcPr>
            <w:tcW w:type="dxa" w:w="5112"/>
          </w:tcPr>
          <w:p>
            <w:r>
              <w:t>Examination papers, answer sheets, exercise books, pens/pencils</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Previous knowledge</w:t>
            </w:r>
          </w:p>
        </w:tc>
        <w:tc>
          <w:tcPr>
            <w:tcW w:type="dxa" w:w="5112"/>
          </w:tcPr>
          <w:p>
            <w:r>
              <w:t>Learners have completed the Term One Mathematics topics and Week 14 revision.</w:t>
            </w:r>
          </w:p>
        </w:tc>
      </w:tr>
      <w:tr>
        <w:tc>
          <w:tcPr>
            <w:tcW w:type="dxa" w:w="5112"/>
            <w:shd w:fill="D9EAF7"/>
          </w:tcPr>
          <w:p>
            <w:r>
              <w:t>Learning objectives</w:t>
            </w:r>
          </w:p>
        </w:tc>
        <w:tc>
          <w:tcPr>
            <w:tcW w:type="dxa" w:w="5112"/>
          </w:tcPr>
          <w:p>
            <w:r>
              <w:t>By the end of the lesson, learners should be able to:</w:t>
            </w:r>
          </w:p>
        </w:tc>
      </w:tr>
    </w:tbl>
    <w:p>
      <w:pPr>
        <w:pStyle w:val="ListBullet"/>
      </w:pPr>
      <w:r>
        <w:t>Apply a consistent marking scheme to learners' scripts.</w:t>
      </w:r>
    </w:p>
    <w:p>
      <w:pPr>
        <w:pStyle w:val="ListBullet"/>
      </w:pPr>
      <w:r>
        <w:t>Record marks accurately.</w:t>
      </w:r>
    </w:p>
    <w:p>
      <w:pPr>
        <w:pStyle w:val="ListBullet"/>
      </w:pPr>
      <w:r>
        <w:t>Identify common errors and areas requiring reinforcement.</w:t>
      </w:r>
    </w:p>
    <w:p>
      <w:r>
        <w:t>Core competencies: Critical thinking and problem solving; communication and collaboration.</w:t>
      </w:r>
    </w:p>
    <w:p>
      <w:r>
        <w:t>Values: Honesty, responsibility, discipline, accuracy and perseverance.</w:t>
      </w:r>
    </w:p>
    <w:p>
      <w:pPr>
        <w:pStyle w:val="Heading3"/>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Preparation</w:t>
            </w:r>
          </w:p>
        </w:tc>
        <w:tc>
          <w:tcPr>
            <w:tcW w:type="dxa" w:w="3408"/>
          </w:tcPr>
          <w:p>
            <w:r>
              <w:t>Prepare the examination paper, marking scheme and mark record. Review the allocation of marks before marking.</w:t>
            </w:r>
          </w:p>
        </w:tc>
        <w:tc>
          <w:tcPr>
            <w:tcW w:type="dxa" w:w="3408"/>
          </w:tcPr>
          <w:p>
            <w:r>
              <w:t>Where learners are involved in an appropriate school process, they organise their exercise books; otherwise the teacher prepares the records.</w:t>
            </w:r>
          </w:p>
        </w:tc>
      </w:tr>
      <w:tr>
        <w:tc>
          <w:tcPr>
            <w:tcW w:type="dxa" w:w="3408"/>
          </w:tcPr>
          <w:p>
            <w:r>
              <w:t>Marking</w:t>
            </w:r>
          </w:p>
        </w:tc>
        <w:tc>
          <w:tcPr>
            <w:tcW w:type="dxa" w:w="3408"/>
          </w:tcPr>
          <w:p>
            <w:r>
              <w:t>Mark responses according to the agreed scheme, awarding method marks where the scheme permits and avoiding inconsistent treatment of similar responses.</w:t>
            </w:r>
          </w:p>
        </w:tc>
        <w:tc>
          <w:tcPr>
            <w:tcW w:type="dxa" w:w="3408"/>
          </w:tcPr>
          <w:p>
            <w:r>
              <w:t>Learners are not given answers during marking.</w:t>
            </w:r>
          </w:p>
        </w:tc>
      </w:tr>
      <w:tr>
        <w:tc>
          <w:tcPr>
            <w:tcW w:type="dxa" w:w="3408"/>
          </w:tcPr>
          <w:p>
            <w:r>
              <w:t>Recording</w:t>
            </w:r>
          </w:p>
        </w:tc>
        <w:tc>
          <w:tcPr>
            <w:tcW w:type="dxa" w:w="3408"/>
          </w:tcPr>
          <w:p>
            <w:r>
              <w:t>Enter marks carefully and check totals.</w:t>
            </w:r>
          </w:p>
        </w:tc>
        <w:tc>
          <w:tcPr>
            <w:tcW w:type="dxa" w:w="3408"/>
          </w:tcPr>
          <w:p>
            <w:r>
              <w:t>Learners' results are recorded in the appropriate school record.</w:t>
            </w:r>
          </w:p>
        </w:tc>
      </w:tr>
      <w:tr>
        <w:tc>
          <w:tcPr>
            <w:tcW w:type="dxa" w:w="3408"/>
          </w:tcPr>
          <w:p>
            <w:r>
              <w:t>Error analysis</w:t>
            </w:r>
          </w:p>
        </w:tc>
        <w:tc>
          <w:tcPr>
            <w:tcW w:type="dxa" w:w="3408"/>
          </w:tcPr>
          <w:p>
            <w:r>
              <w:t>Group common errors by topic, such as significant figures, algebraic signs, angles, area or volume.</w:t>
            </w:r>
          </w:p>
        </w:tc>
        <w:tc>
          <w:tcPr>
            <w:tcW w:type="dxa" w:w="3408"/>
          </w:tcPr>
          <w:p>
            <w:r>
              <w:t>Learners later use feedback to correct misconceptions.</w:t>
            </w:r>
          </w:p>
        </w:tc>
      </w:tr>
      <w:tr>
        <w:tc>
          <w:tcPr>
            <w:tcW w:type="dxa" w:w="3408"/>
          </w:tcPr>
          <w:p>
            <w:r>
              <w:t>Feedback</w:t>
            </w:r>
          </w:p>
        </w:tc>
        <w:tc>
          <w:tcPr>
            <w:tcW w:type="dxa" w:w="3408"/>
          </w:tcPr>
          <w:p>
            <w:r>
              <w:t>Plan concise feedback and identify topics requiring reinforcement in subsequent teaching.</w:t>
            </w:r>
          </w:p>
        </w:tc>
        <w:tc>
          <w:tcPr>
            <w:tcW w:type="dxa" w:w="3408"/>
          </w:tcPr>
          <w:p>
            <w:r>
              <w:t>Learners receive feedback and make corrections when instructed.</w:t>
            </w:r>
          </w:p>
        </w:tc>
      </w:tr>
    </w:tbl>
    <w:p>
      <w:pPr>
        <w:pStyle w:val="Heading3"/>
      </w:pPr>
      <w:r>
        <w:t>Assessment</w:t>
      </w:r>
    </w:p>
    <w:p>
      <w:pPr>
        <w:pStyle w:val="ListBullet"/>
      </w:pPr>
      <w:r>
        <w:t>Accurate addition of marks.</w:t>
      </w:r>
    </w:p>
    <w:p>
      <w:pPr>
        <w:pStyle w:val="ListBullet"/>
      </w:pPr>
      <w:r>
        <w:t>Consistent application of the marking scheme.</w:t>
      </w:r>
    </w:p>
    <w:p>
      <w:pPr>
        <w:pStyle w:val="ListBullet"/>
      </w:pPr>
      <w:r>
        <w:t>Accurate recording of results.</w:t>
      </w:r>
    </w:p>
    <w:p>
      <w:pPr>
        <w:pStyle w:val="ListBullet"/>
      </w:pPr>
      <w:r>
        <w:t>Identification of common learning difficulties.</w:t>
      </w:r>
    </w:p>
    <w:p>
      <w:pPr>
        <w:pStyle w:val="Heading3"/>
      </w:pPr>
      <w:r>
        <w:t>Differentiation / Support</w:t>
      </w:r>
    </w:p>
    <w:p>
      <w:r>
        <w:t>Where scripts are reviewed with learners, give targeted support based on the actual errors rather than reteaching unrelated content.</w:t>
      </w:r>
    </w:p>
    <w:p>
      <w:pPr>
        <w:pStyle w:val="Heading3"/>
      </w:pPr>
      <w:r>
        <w:t>Homework / Follow-up</w:t>
      </w:r>
    </w:p>
    <w:p>
      <w:r>
        <w:t>Complete corrections of selected examination questions after feedback. The exact questions should be chosen from actual learner errors.</w:t>
      </w:r>
    </w:p>
    <w:p>
      <w:r>
        <w:br w:type="page"/>
      </w:r>
    </w:p>
    <w:p>
      <w:pPr>
        <w:pStyle w:val="Heading2"/>
      </w:pPr>
      <w:r>
        <w:t>Lesson Notes: Marking, Recording and Feedback</w:t>
      </w:r>
    </w:p>
    <w:p>
      <w:pPr>
        <w:pStyle w:val="Heading3"/>
      </w:pPr>
      <w:r>
        <w:t>Marking Principles</w:t>
      </w:r>
    </w:p>
    <w:p>
      <w:r>
        <w:t>Use the approved marking scheme consistently. Award marks only according to the stated criteria. Where method marks are provided, award them consistently when the learner demonstrates the required method.</w:t>
      </w:r>
    </w:p>
    <w:p>
      <w:pPr>
        <w:pStyle w:val="Heading3"/>
      </w:pPr>
      <w:r>
        <w:t>Checking Totals</w:t>
      </w:r>
    </w:p>
    <w:p>
      <w:r>
        <w:t>After marking each script, add the awarded marks carefully. Recheck the total before recording it. This reduces avoidable recording errors.</w:t>
      </w:r>
    </w:p>
    <w:p>
      <w:pPr>
        <w:pStyle w:val="Heading3"/>
      </w:pPr>
      <w:r>
        <w:t>Error Analysis</w:t>
      </w:r>
    </w:p>
    <w:p>
      <w:r>
        <w:t>Organise common errors under the relevant Term One topics: Number; Ratios, Rates and Proportion; Algebra; Geometry; Measurement. Look for patterns rather than focusing only on individual mistakes.</w:t>
      </w:r>
    </w:p>
    <w:p>
      <w:pPr>
        <w:pStyle w:val="Heading3"/>
      </w:pPr>
      <w:r>
        <w:t>Feedback</w:t>
      </w:r>
    </w:p>
    <w:p>
      <w:r>
        <w:t>Feedback should tell learners what they did correctly, what needs correction and what mathematical skill requires more practice. Corrections should use the actual examination questions and learner errors.</w:t>
      </w:r>
    </w:p>
    <w:p>
      <w:pPr>
        <w:pStyle w:val="Heading3"/>
      </w:pPr>
      <w:r>
        <w:t>Planning After the Examination</w:t>
      </w:r>
    </w:p>
    <w:p>
      <w:r>
        <w:t>Use the results to identify areas that need reinforcement in the next teaching period. Do not treat the examination as the end of learning; use the evidence to improve subsequent instruction.</w:t>
      </w:r>
    </w:p>
    <w:p>
      <w:pPr>
        <w:pStyle w:val="Heading1"/>
      </w:pPr>
      <w:r>
        <w:t>PART III — END-OF-TERM QUALITY CHECK</w:t>
      </w:r>
    </w:p>
    <w:p>
      <w:pPr>
        <w:pStyle w:val="ListBullet"/>
      </w:pPr>
      <w:r>
        <w:t>Examination content should be limited to material taught and revised during Term One.</w:t>
      </w:r>
    </w:p>
    <w:p>
      <w:pPr>
        <w:pStyle w:val="ListBullet"/>
      </w:pPr>
      <w:r>
        <w:t>Questions should represent the major topics covered without introducing unfamiliar content.</w:t>
      </w:r>
    </w:p>
    <w:p>
      <w:pPr>
        <w:pStyle w:val="ListBullet"/>
      </w:pPr>
      <w:r>
        <w:t>Marks should be allocated clearly and checked before administration.</w:t>
      </w:r>
    </w:p>
    <w:p>
      <w:pPr>
        <w:pStyle w:val="ListBullet"/>
      </w:pPr>
      <w:r>
        <w:t>Learners should be given clear instructions and a suitable working environment.</w:t>
      </w:r>
    </w:p>
    <w:p>
      <w:pPr>
        <w:pStyle w:val="ListBullet"/>
      </w:pPr>
      <w:r>
        <w:t>Scripts should be collected and kept secure.</w:t>
      </w:r>
    </w:p>
    <w:p>
      <w:pPr>
        <w:pStyle w:val="ListBullet"/>
      </w:pPr>
      <w:r>
        <w:t>Marking should follow a consistent scheme, with totals checked before recording.</w:t>
      </w:r>
    </w:p>
    <w:p>
      <w:pPr>
        <w:pStyle w:val="ListBullet"/>
      </w:pPr>
      <w:r>
        <w:t>Common errors should inform subsequent remedial teaching.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Basic 9 Mathematics • Term 1 • Week 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