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SOCIAL STUDIES</w:t>
      </w:r>
    </w:p>
    <w:p>
      <w:pPr>
        <w:jc w:val="center"/>
      </w:pPr>
      <w:r>
        <w:rPr>
          <w:b/>
          <w:sz w:val="34"/>
        </w:rPr>
        <w:t>BASIC 8 — TERM ONE</w:t>
      </w:r>
    </w:p>
    <w:p>
      <w:pPr>
        <w:jc w:val="center"/>
      </w:pPr>
      <w:r>
        <w:rPr>
          <w:b/>
          <w:sz w:val="36"/>
        </w:rPr>
        <w:t>WEEK 15 END-OF-TERM EXAMINATION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Item</w:t>
            </w:r>
          </w:p>
        </w:tc>
        <w:tc>
          <w:tcPr>
            <w:tcW w:type="dxa" w:w="5112"/>
            <w:shd w:fill="D9E2F3"/>
            <w:vAlign w:val="center"/>
          </w:tcPr>
          <w:p>
            <w:r/>
            <w:r>
              <w:rPr>
                <w:rFonts w:ascii="Aptos" w:hAnsi="Aptos"/>
                <w:b/>
                <w:sz w:val="18"/>
              </w:rPr>
              <w:t>Details</w:t>
            </w:r>
          </w:p>
        </w:tc>
      </w:tr>
      <w:tr>
        <w:tc>
          <w:tcPr>
            <w:tcW w:type="dxa" w:w="5112"/>
            <w:vAlign w:val="center"/>
          </w:tcPr>
          <w:p>
            <w:r/>
            <w:r>
              <w:rPr>
                <w:rFonts w:ascii="Aptos" w:hAnsi="Aptos"/>
                <w:sz w:val="18"/>
              </w:rPr>
              <w:t>Subject</w:t>
            </w:r>
          </w:p>
        </w:tc>
        <w:tc>
          <w:tcPr>
            <w:tcW w:type="dxa" w:w="5112"/>
            <w:vAlign w:val="center"/>
          </w:tcPr>
          <w:p>
            <w:r/>
            <w:r>
              <w:rPr>
                <w:rFonts w:ascii="Aptos" w:hAnsi="Aptos"/>
                <w:sz w:val="18"/>
              </w:rPr>
              <w:t>Social Studies</w:t>
            </w:r>
          </w:p>
        </w:tc>
      </w:tr>
      <w:tr>
        <w:tc>
          <w:tcPr>
            <w:tcW w:type="dxa" w:w="5112"/>
            <w:vAlign w:val="center"/>
          </w:tcPr>
          <w:p>
            <w:r/>
            <w:r>
              <w:rPr>
                <w:rFonts w:ascii="Aptos" w:hAnsi="Aptos"/>
                <w:sz w:val="18"/>
              </w:rPr>
              <w:t>Class</w:t>
            </w:r>
          </w:p>
        </w:tc>
        <w:tc>
          <w:tcPr>
            <w:tcW w:type="dxa" w:w="5112"/>
            <w:vAlign w:val="center"/>
          </w:tcPr>
          <w:p>
            <w:r/>
            <w:r>
              <w:rPr>
                <w:rFonts w:ascii="Aptos" w:hAnsi="Aptos"/>
                <w:sz w:val="18"/>
              </w:rPr>
              <w:t>Basic 8</w:t>
            </w:r>
          </w:p>
        </w:tc>
      </w:tr>
      <w:tr>
        <w:tc>
          <w:tcPr>
            <w:tcW w:type="dxa" w:w="5112"/>
            <w:vAlign w:val="center"/>
          </w:tcPr>
          <w:p>
            <w:r/>
            <w:r>
              <w:rPr>
                <w:rFonts w:ascii="Aptos" w:hAnsi="Aptos"/>
                <w:sz w:val="18"/>
              </w:rPr>
              <w:t>Term / Week</w:t>
            </w:r>
          </w:p>
        </w:tc>
        <w:tc>
          <w:tcPr>
            <w:tcW w:type="dxa" w:w="5112"/>
            <w:vAlign w:val="center"/>
          </w:tcPr>
          <w:p>
            <w:r/>
            <w:r>
              <w:rPr>
                <w:rFonts w:ascii="Aptos" w:hAnsi="Aptos"/>
                <w:sz w:val="18"/>
              </w:rPr>
              <w:t>Term One / Week 15</w:t>
            </w:r>
          </w:p>
        </w:tc>
      </w:tr>
      <w:tr>
        <w:tc>
          <w:tcPr>
            <w:tcW w:type="dxa" w:w="5112"/>
            <w:vAlign w:val="center"/>
          </w:tcPr>
          <w:p>
            <w:r/>
            <w:r>
              <w:rPr>
                <w:rFonts w:ascii="Aptos" w:hAnsi="Aptos"/>
                <w:sz w:val="18"/>
              </w:rPr>
              <w:t>Academic Year</w:t>
            </w:r>
          </w:p>
        </w:tc>
        <w:tc>
          <w:tcPr>
            <w:tcW w:type="dxa" w:w="5112"/>
            <w:vAlign w:val="center"/>
          </w:tcPr>
          <w:p>
            <w:r/>
            <w:r>
              <w:rPr>
                <w:rFonts w:ascii="Aptos" w:hAnsi="Aptos"/>
                <w:sz w:val="18"/>
              </w:rPr>
              <w:t>2026/2027</w:t>
            </w:r>
          </w:p>
        </w:tc>
      </w:tr>
      <w:tr>
        <w:tc>
          <w:tcPr>
            <w:tcW w:type="dxa" w:w="5112"/>
            <w:vAlign w:val="center"/>
          </w:tcPr>
          <w:p>
            <w:r/>
            <w:r>
              <w:rPr>
                <w:rFonts w:ascii="Aptos" w:hAnsi="Aptos"/>
                <w:sz w:val="18"/>
              </w:rPr>
              <w:t>Focus</w:t>
            </w:r>
          </w:p>
        </w:tc>
        <w:tc>
          <w:tcPr>
            <w:tcW w:type="dxa" w:w="5112"/>
            <w:vAlign w:val="center"/>
          </w:tcPr>
          <w:p>
            <w:r/>
            <w:r>
              <w:rPr>
                <w:rFonts w:ascii="Aptos" w:hAnsi="Aptos"/>
                <w:sz w:val="18"/>
              </w:rPr>
              <w:t>End-of-Term Examination and Marking</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Examination papers, answer sheets</w:t>
            </w:r>
          </w:p>
        </w:tc>
      </w:tr>
    </w:tbl>
    <w:p>
      <w:r>
        <w:t>This week follows the supplied Scheme of Learning. The examination assesses topics covered during the term; it does not introduce new teaching content.</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Planning Area</w:t>
            </w:r>
          </w:p>
        </w:tc>
        <w:tc>
          <w:tcPr>
            <w:tcW w:type="dxa" w:w="5112"/>
            <w:shd w:fill="D9E2F3"/>
            <w:vAlign w:val="center"/>
          </w:tcPr>
          <w:p>
            <w:r/>
            <w:r>
              <w:rPr>
                <w:rFonts w:ascii="Aptos" w:hAnsi="Aptos"/>
                <w:b/>
                <w:sz w:val="18"/>
              </w:rPr>
              <w:t>Week 15</w:t>
            </w:r>
          </w:p>
        </w:tc>
      </w:tr>
      <w:tr>
        <w:tc>
          <w:tcPr>
            <w:tcW w:type="dxa" w:w="5112"/>
            <w:vAlign w:val="center"/>
          </w:tcPr>
          <w:p>
            <w:r/>
            <w:r>
              <w:rPr>
                <w:rFonts w:ascii="Aptos" w:hAnsi="Aptos"/>
                <w:sz w:val="18"/>
              </w:rPr>
              <w:t>Subject / Class</w:t>
            </w:r>
          </w:p>
        </w:tc>
        <w:tc>
          <w:tcPr>
            <w:tcW w:type="dxa" w:w="5112"/>
            <w:vAlign w:val="center"/>
          </w:tcPr>
          <w:p>
            <w:r/>
            <w:r>
              <w:rPr>
                <w:rFonts w:ascii="Aptos" w:hAnsi="Aptos"/>
                <w:sz w:val="18"/>
              </w:rPr>
              <w:t>Social Studies / Basic 8</w:t>
            </w:r>
          </w:p>
        </w:tc>
      </w:tr>
      <w:tr>
        <w:tc>
          <w:tcPr>
            <w:tcW w:type="dxa" w:w="5112"/>
            <w:vAlign w:val="center"/>
          </w:tcPr>
          <w:p>
            <w:r/>
            <w:r>
              <w:rPr>
                <w:rFonts w:ascii="Aptos" w:hAnsi="Aptos"/>
                <w:sz w:val="18"/>
              </w:rPr>
              <w:t>Term</w:t>
            </w:r>
          </w:p>
        </w:tc>
        <w:tc>
          <w:tcPr>
            <w:tcW w:type="dxa" w:w="5112"/>
            <w:vAlign w:val="center"/>
          </w:tcPr>
          <w:p>
            <w:r/>
            <w:r>
              <w:rPr>
                <w:rFonts w:ascii="Aptos" w:hAnsi="Aptos"/>
                <w:sz w:val="18"/>
              </w:rPr>
              <w:t>One</w:t>
            </w:r>
          </w:p>
        </w:tc>
      </w:tr>
      <w:tr>
        <w:tc>
          <w:tcPr>
            <w:tcW w:type="dxa" w:w="5112"/>
            <w:vAlign w:val="center"/>
          </w:tcPr>
          <w:p>
            <w:r/>
            <w:r>
              <w:rPr>
                <w:rFonts w:ascii="Aptos" w:hAnsi="Aptos"/>
                <w:sz w:val="18"/>
              </w:rPr>
              <w:t>Strand / Sub-Strand</w:t>
            </w:r>
          </w:p>
        </w:tc>
        <w:tc>
          <w:tcPr>
            <w:tcW w:type="dxa" w:w="5112"/>
            <w:vAlign w:val="center"/>
          </w:tcPr>
          <w:p>
            <w:r/>
            <w:r>
              <w:rPr>
                <w:rFonts w:ascii="Aptos" w:hAnsi="Aptos"/>
                <w:sz w:val="18"/>
              </w:rPr>
              <w:t>End-of-Term Examination — All topics covered in the term</w:t>
            </w:r>
          </w:p>
        </w:tc>
      </w:tr>
      <w:tr>
        <w:tc>
          <w:tcPr>
            <w:tcW w:type="dxa" w:w="5112"/>
            <w:vAlign w:val="center"/>
          </w:tcPr>
          <w:p>
            <w:r/>
            <w:r>
              <w:rPr>
                <w:rFonts w:ascii="Aptos" w:hAnsi="Aptos"/>
                <w:sz w:val="18"/>
              </w:rPr>
              <w:t>Content Standard / Indicator</w:t>
            </w:r>
          </w:p>
        </w:tc>
        <w:tc>
          <w:tcPr>
            <w:tcW w:type="dxa" w:w="5112"/>
            <w:vAlign w:val="center"/>
          </w:tcPr>
          <w:p>
            <w:r/>
            <w:r>
              <w:rPr>
                <w:rFonts w:ascii="Aptos" w:hAnsi="Aptos"/>
                <w:sz w:val="18"/>
              </w:rPr>
              <w:t>All content standards/indicators covered in Weeks 1–13</w:t>
            </w:r>
          </w:p>
        </w:tc>
      </w:tr>
      <w:tr>
        <w:tc>
          <w:tcPr>
            <w:tcW w:type="dxa" w:w="5112"/>
            <w:vAlign w:val="center"/>
          </w:tcPr>
          <w:p>
            <w:r/>
            <w:r>
              <w:rPr>
                <w:rFonts w:ascii="Aptos" w:hAnsi="Aptos"/>
                <w:sz w:val="18"/>
              </w:rPr>
              <w:t>Scheme Activity</w:t>
            </w:r>
          </w:p>
        </w:tc>
        <w:tc>
          <w:tcPr>
            <w:tcW w:type="dxa" w:w="5112"/>
            <w:vAlign w:val="center"/>
          </w:tcPr>
          <w:p>
            <w:r/>
            <w:r>
              <w:rPr>
                <w:rFonts w:ascii="Aptos" w:hAnsi="Aptos"/>
                <w:sz w:val="18"/>
              </w:rPr>
              <w:t>End-of-Term Examination and marking</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Examination papers, answer sheets</w:t>
            </w:r>
          </w:p>
        </w:tc>
      </w:tr>
      <w:tr>
        <w:tc>
          <w:tcPr>
            <w:tcW w:type="dxa" w:w="5112"/>
            <w:vAlign w:val="center"/>
          </w:tcPr>
          <w:p>
            <w:r/>
            <w:r>
              <w:rPr>
                <w:rFonts w:ascii="Aptos" w:hAnsi="Aptos"/>
                <w:sz w:val="18"/>
              </w:rPr>
              <w:t>Lesson 1 Focus</w:t>
            </w:r>
          </w:p>
        </w:tc>
        <w:tc>
          <w:tcPr>
            <w:tcW w:type="dxa" w:w="5112"/>
            <w:vAlign w:val="center"/>
          </w:tcPr>
          <w:p>
            <w:r/>
            <w:r>
              <w:rPr>
                <w:rFonts w:ascii="Aptos" w:hAnsi="Aptos"/>
                <w:sz w:val="18"/>
              </w:rPr>
              <w:t>Administration of the End-of-Term Examination</w:t>
            </w:r>
          </w:p>
        </w:tc>
      </w:tr>
      <w:tr>
        <w:tc>
          <w:tcPr>
            <w:tcW w:type="dxa" w:w="5112"/>
            <w:vAlign w:val="center"/>
          </w:tcPr>
          <w:p>
            <w:r/>
            <w:r>
              <w:rPr>
                <w:rFonts w:ascii="Aptos" w:hAnsi="Aptos"/>
                <w:sz w:val="18"/>
              </w:rPr>
              <w:t>Lesson 2 Focus</w:t>
            </w:r>
          </w:p>
        </w:tc>
        <w:tc>
          <w:tcPr>
            <w:tcW w:type="dxa" w:w="5112"/>
            <w:vAlign w:val="center"/>
          </w:tcPr>
          <w:p>
            <w:r/>
            <w:r>
              <w:rPr>
                <w:rFonts w:ascii="Aptos" w:hAnsi="Aptos"/>
                <w:sz w:val="18"/>
              </w:rPr>
              <w:t>Marking, recording and review of examination performance</w:t>
            </w:r>
          </w:p>
        </w:tc>
      </w:tr>
    </w:tbl>
    <w:p>
      <w:r>
        <w:t>Assessment coverage should be limited to content taught during the term: environmental issues, mapping skills, family life, contribution to community development, community-service planning, causes and management of conflict, and the related revision work.</w:t>
      </w:r>
    </w:p>
    <w:p>
      <w:r>
        <w:br w:type="page"/>
      </w:r>
    </w:p>
    <w:p>
      <w:pPr>
        <w:pStyle w:val="Heading2"/>
      </w:pPr>
      <w:r>
        <w:t>Lesson Plan 1: Administration of the End-of-Term Examination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Lesson Information</w:t>
            </w:r>
          </w:p>
        </w:tc>
        <w:tc>
          <w:tcPr>
            <w:tcW w:type="dxa" w:w="5112"/>
            <w:shd w:fill="D9E2F3"/>
            <w:vAlign w:val="center"/>
          </w:tcPr>
          <w:p>
            <w:r/>
            <w:r>
              <w:rPr>
                <w:rFonts w:ascii="Aptos" w:hAnsi="Aptos"/>
                <w:b/>
                <w:sz w:val="18"/>
              </w:rPr>
              <w:t>Details</w:t>
            </w:r>
          </w:p>
        </w:tc>
      </w:tr>
      <w:tr>
        <w:tc>
          <w:tcPr>
            <w:tcW w:type="dxa" w:w="5112"/>
            <w:vAlign w:val="center"/>
          </w:tcPr>
          <w:p>
            <w:r/>
            <w:r>
              <w:rPr>
                <w:rFonts w:ascii="Aptos" w:hAnsi="Aptos"/>
                <w:sz w:val="18"/>
              </w:rPr>
              <w:t>Subject</w:t>
            </w:r>
          </w:p>
        </w:tc>
        <w:tc>
          <w:tcPr>
            <w:tcW w:type="dxa" w:w="5112"/>
            <w:vAlign w:val="center"/>
          </w:tcPr>
          <w:p>
            <w:r/>
            <w:r>
              <w:rPr>
                <w:rFonts w:ascii="Aptos" w:hAnsi="Aptos"/>
                <w:sz w:val="18"/>
              </w:rPr>
              <w:t>Social Studies</w:t>
            </w:r>
          </w:p>
        </w:tc>
      </w:tr>
      <w:tr>
        <w:tc>
          <w:tcPr>
            <w:tcW w:type="dxa" w:w="5112"/>
            <w:vAlign w:val="center"/>
          </w:tcPr>
          <w:p>
            <w:r/>
            <w:r>
              <w:rPr>
                <w:rFonts w:ascii="Aptos" w:hAnsi="Aptos"/>
                <w:sz w:val="18"/>
              </w:rPr>
              <w:t>Class</w:t>
            </w:r>
          </w:p>
        </w:tc>
        <w:tc>
          <w:tcPr>
            <w:tcW w:type="dxa" w:w="5112"/>
            <w:vAlign w:val="center"/>
          </w:tcPr>
          <w:p>
            <w:r/>
            <w:r>
              <w:rPr>
                <w:rFonts w:ascii="Aptos" w:hAnsi="Aptos"/>
                <w:sz w:val="18"/>
              </w:rPr>
              <w:t>Basic 8</w:t>
            </w:r>
          </w:p>
        </w:tc>
      </w:tr>
      <w:tr>
        <w:tc>
          <w:tcPr>
            <w:tcW w:type="dxa" w:w="5112"/>
            <w:vAlign w:val="center"/>
          </w:tcPr>
          <w:p>
            <w:r/>
            <w:r>
              <w:rPr>
                <w:rFonts w:ascii="Aptos" w:hAnsi="Aptos"/>
                <w:sz w:val="18"/>
              </w:rPr>
              <w:t>Term / Week / Lesson</w:t>
            </w:r>
          </w:p>
        </w:tc>
        <w:tc>
          <w:tcPr>
            <w:tcW w:type="dxa" w:w="5112"/>
            <w:vAlign w:val="center"/>
          </w:tcPr>
          <w:p>
            <w:r/>
            <w:r>
              <w:rPr>
                <w:rFonts w:ascii="Aptos" w:hAnsi="Aptos"/>
                <w:sz w:val="18"/>
              </w:rPr>
              <w:t>Term One / Week 15 / Lesson 1</w:t>
            </w:r>
          </w:p>
        </w:tc>
      </w:tr>
      <w:tr>
        <w:tc>
          <w:tcPr>
            <w:tcW w:type="dxa" w:w="5112"/>
            <w:vAlign w:val="center"/>
          </w:tcPr>
          <w:p>
            <w:r/>
            <w:r>
              <w:rPr>
                <w:rFonts w:ascii="Aptos" w:hAnsi="Aptos"/>
                <w:sz w:val="18"/>
              </w:rPr>
              <w:t>Topic</w:t>
            </w:r>
          </w:p>
        </w:tc>
        <w:tc>
          <w:tcPr>
            <w:tcW w:type="dxa" w:w="5112"/>
            <w:vAlign w:val="center"/>
          </w:tcPr>
          <w:p>
            <w:r/>
            <w:r>
              <w:rPr>
                <w:rFonts w:ascii="Aptos" w:hAnsi="Aptos"/>
                <w:sz w:val="18"/>
              </w:rPr>
              <w:t>Administration of the End-of-Term Examination</w:t>
            </w:r>
          </w:p>
        </w:tc>
      </w:tr>
      <w:tr>
        <w:tc>
          <w:tcPr>
            <w:tcW w:type="dxa" w:w="5112"/>
            <w:vAlign w:val="center"/>
          </w:tcPr>
          <w:p>
            <w:r/>
            <w:r>
              <w:rPr>
                <w:rFonts w:ascii="Aptos" w:hAnsi="Aptos"/>
                <w:sz w:val="18"/>
              </w:rPr>
              <w:t>Strand / Sub-Strand</w:t>
            </w:r>
          </w:p>
        </w:tc>
        <w:tc>
          <w:tcPr>
            <w:tcW w:type="dxa" w:w="5112"/>
            <w:vAlign w:val="center"/>
          </w:tcPr>
          <w:p>
            <w:r/>
            <w:r>
              <w:rPr>
                <w:rFonts w:ascii="Aptos" w:hAnsi="Aptos"/>
                <w:sz w:val="18"/>
              </w:rPr>
              <w:t>End-of-Term Examination — All topics covered in the term</w:t>
            </w:r>
          </w:p>
        </w:tc>
      </w:tr>
      <w:tr>
        <w:tc>
          <w:tcPr>
            <w:tcW w:type="dxa" w:w="5112"/>
            <w:vAlign w:val="center"/>
          </w:tcPr>
          <w:p>
            <w:r/>
            <w:r>
              <w:rPr>
                <w:rFonts w:ascii="Aptos" w:hAnsi="Aptos"/>
                <w:sz w:val="18"/>
              </w:rPr>
              <w:t>Content Standard / Indicator</w:t>
            </w:r>
          </w:p>
        </w:tc>
        <w:tc>
          <w:tcPr>
            <w:tcW w:type="dxa" w:w="5112"/>
            <w:vAlign w:val="center"/>
          </w:tcPr>
          <w:p>
            <w:r/>
            <w:r>
              <w:rPr>
                <w:rFonts w:ascii="Aptos" w:hAnsi="Aptos"/>
                <w:sz w:val="18"/>
              </w:rPr>
              <w:t>All content standards/indicators covered in Weeks 1–13</w:t>
            </w:r>
          </w:p>
        </w:tc>
      </w:tr>
      <w:tr>
        <w:tc>
          <w:tcPr>
            <w:tcW w:type="dxa" w:w="5112"/>
            <w:vAlign w:val="center"/>
          </w:tcPr>
          <w:p>
            <w:r/>
            <w:r>
              <w:rPr>
                <w:rFonts w:ascii="Aptos" w:hAnsi="Aptos"/>
                <w:sz w:val="18"/>
              </w:rPr>
              <w:t>Duration</w:t>
            </w:r>
          </w:p>
        </w:tc>
        <w:tc>
          <w:tcPr>
            <w:tcW w:type="dxa" w:w="5112"/>
            <w:vAlign w:val="center"/>
          </w:tcPr>
          <w:p>
            <w:r/>
            <w:r>
              <w:rPr>
                <w:rFonts w:ascii="Aptos" w:hAnsi="Aptos"/>
                <w:sz w:val="18"/>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8"/>
              </w:rPr>
              <w:t>Previous Knowledge</w:t>
            </w:r>
          </w:p>
        </w:tc>
        <w:tc>
          <w:tcPr>
            <w:tcW w:type="dxa" w:w="5112"/>
            <w:vAlign w:val="center"/>
          </w:tcPr>
          <w:p>
            <w:r/>
            <w:r>
              <w:rPr>
                <w:rFonts w:ascii="Aptos" w:hAnsi="Aptos"/>
                <w:sz w:val="18"/>
              </w:rPr>
              <w:t>All topics taught from Weeks 1–13 and revised in Week 14.</w:t>
            </w:r>
          </w:p>
        </w:tc>
      </w:tr>
      <w:tr>
        <w:tc>
          <w:tcPr>
            <w:tcW w:type="dxa" w:w="5112"/>
            <w:vAlign w:val="center"/>
          </w:tcPr>
          <w:p>
            <w:r/>
            <w:r>
              <w:rPr>
                <w:rFonts w:ascii="Aptos" w:hAnsi="Aptos"/>
                <w:sz w:val="18"/>
              </w:rPr>
              <w:t>Learning Objectives</w:t>
            </w:r>
          </w:p>
        </w:tc>
        <w:tc>
          <w:tcPr>
            <w:tcW w:type="dxa" w:w="5112"/>
            <w:vAlign w:val="center"/>
          </w:tcPr>
          <w:p>
            <w:r/>
            <w:r>
              <w:rPr>
                <w:rFonts w:ascii="Aptos" w:hAnsi="Aptos"/>
                <w:sz w:val="18"/>
              </w:rPr>
              <w:t>1. Demonstrate individual understanding of the Social Studies content taught during the term.</w:t>
              <w:br/>
              <w:t>2. Follow examination instructions correctly.</w:t>
              <w:br/>
              <w:t>3. Present answers clearly and independently.</w:t>
              <w:br/>
              <w:t>4. Manage examination time responsibly.</w:t>
            </w:r>
          </w:p>
        </w:tc>
      </w:tr>
      <w:tr>
        <w:tc>
          <w:tcPr>
            <w:tcW w:type="dxa" w:w="5112"/>
            <w:vAlign w:val="center"/>
          </w:tcPr>
          <w:p>
            <w:r/>
            <w:r>
              <w:rPr>
                <w:rFonts w:ascii="Aptos" w:hAnsi="Aptos"/>
                <w:sz w:val="18"/>
              </w:rPr>
              <w:t>Key Concepts</w:t>
            </w:r>
          </w:p>
        </w:tc>
        <w:tc>
          <w:tcPr>
            <w:tcW w:type="dxa" w:w="5112"/>
            <w:vAlign w:val="center"/>
          </w:tcPr>
          <w:p>
            <w:r/>
            <w:r>
              <w:rPr>
                <w:rFonts w:ascii="Aptos" w:hAnsi="Aptos"/>
                <w:sz w:val="18"/>
              </w:rPr>
              <w:t>examination, answer sheet, instructions, time management, assessment</w:t>
            </w:r>
          </w:p>
        </w:tc>
      </w:tr>
      <w:tr>
        <w:tc>
          <w:tcPr>
            <w:tcW w:type="dxa" w:w="5112"/>
            <w:vAlign w:val="center"/>
          </w:tcPr>
          <w:p>
            <w:r/>
            <w:r>
              <w:rPr>
                <w:rFonts w:ascii="Aptos" w:hAnsi="Aptos"/>
                <w:sz w:val="18"/>
              </w:rPr>
              <w:t>Core Competencies</w:t>
            </w:r>
          </w:p>
        </w:tc>
        <w:tc>
          <w:tcPr>
            <w:tcW w:type="dxa" w:w="5112"/>
            <w:vAlign w:val="center"/>
          </w:tcPr>
          <w:p>
            <w:r/>
            <w:r>
              <w:rPr>
                <w:rFonts w:ascii="Aptos" w:hAnsi="Aptos"/>
                <w:sz w:val="18"/>
              </w:rPr>
              <w:t>Communication and Collaboration, Critical Thinking and Problem Solving, Personal Development</w:t>
            </w:r>
          </w:p>
        </w:tc>
      </w:tr>
      <w:tr>
        <w:tc>
          <w:tcPr>
            <w:tcW w:type="dxa" w:w="5112"/>
            <w:vAlign w:val="center"/>
          </w:tcPr>
          <w:p>
            <w:r/>
            <w:r>
              <w:rPr>
                <w:rFonts w:ascii="Aptos" w:hAnsi="Aptos"/>
                <w:sz w:val="18"/>
              </w:rPr>
              <w:t>Values / Attitudes</w:t>
            </w:r>
          </w:p>
        </w:tc>
        <w:tc>
          <w:tcPr>
            <w:tcW w:type="dxa" w:w="5112"/>
            <w:vAlign w:val="center"/>
          </w:tcPr>
          <w:p>
            <w:r/>
            <w:r>
              <w:rPr>
                <w:rFonts w:ascii="Aptos" w:hAnsi="Aptos"/>
                <w:sz w:val="18"/>
              </w:rPr>
              <w:t>Honesty, Responsibility, Self-discipline, Fairness</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Examination papers, answer sheets, writing materials</w:t>
            </w:r>
          </w:p>
        </w:tc>
      </w:tr>
      <w:tr>
        <w:tc>
          <w:tcPr>
            <w:tcW w:type="dxa" w:w="5112"/>
            <w:vAlign w:val="center"/>
          </w:tcPr>
          <w:p>
            <w:r/>
            <w:r>
              <w:rPr>
                <w:rFonts w:ascii="Aptos" w:hAnsi="Aptos"/>
                <w:sz w:val="18"/>
              </w:rPr>
              <w:t>Performance Indicator</w:t>
            </w:r>
          </w:p>
        </w:tc>
        <w:tc>
          <w:tcPr>
            <w:tcW w:type="dxa" w:w="5112"/>
            <w:vAlign w:val="center"/>
          </w:tcPr>
          <w:p>
            <w:r/>
            <w:r>
              <w:rPr>
                <w:rFonts w:ascii="Aptos" w:hAnsi="Aptos"/>
                <w:sz w:val="18"/>
              </w:rPr>
              <w:t>Not separately specified in the supplied Scheme of Learning for the examination week.</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8"/>
              </w:rPr>
              <w:t>Stage / Time</w:t>
            </w:r>
          </w:p>
        </w:tc>
        <w:tc>
          <w:tcPr>
            <w:tcW w:type="dxa" w:w="2556"/>
            <w:shd w:fill="D9E2F3"/>
            <w:vAlign w:val="center"/>
          </w:tcPr>
          <w:p>
            <w:r/>
            <w:r>
              <w:rPr>
                <w:rFonts w:ascii="Aptos" w:hAnsi="Aptos"/>
                <w:b/>
                <w:sz w:val="18"/>
              </w:rPr>
              <w:t>Teacher Activities</w:t>
            </w:r>
          </w:p>
        </w:tc>
        <w:tc>
          <w:tcPr>
            <w:tcW w:type="dxa" w:w="2556"/>
            <w:shd w:fill="D9E2F3"/>
            <w:vAlign w:val="center"/>
          </w:tcPr>
          <w:p>
            <w:r/>
            <w:r>
              <w:rPr>
                <w:rFonts w:ascii="Aptos" w:hAnsi="Aptos"/>
                <w:b/>
                <w:sz w:val="18"/>
              </w:rPr>
              <w:t>Learner Activities</w:t>
            </w:r>
          </w:p>
        </w:tc>
        <w:tc>
          <w:tcPr>
            <w:tcW w:type="dxa" w:w="2556"/>
            <w:shd w:fill="D9E2F3"/>
            <w:vAlign w:val="center"/>
          </w:tcPr>
          <w:p>
            <w:r/>
            <w:r>
              <w:rPr>
                <w:rFonts w:ascii="Aptos" w:hAnsi="Aptos"/>
                <w:b/>
                <w:sz w:val="18"/>
              </w:rPr>
              <w:t>Expected Learning</w:t>
            </w:r>
          </w:p>
        </w:tc>
      </w:tr>
      <w:tr>
        <w:tc>
          <w:tcPr>
            <w:tcW w:type="dxa" w:w="2556"/>
            <w:vAlign w:val="center"/>
          </w:tcPr>
          <w:p>
            <w:r/>
            <w:r>
              <w:rPr>
                <w:rFonts w:ascii="Aptos" w:hAnsi="Aptos"/>
                <w:sz w:val="18"/>
              </w:rPr>
              <w:t>Preparation (5 min)</w:t>
            </w:r>
          </w:p>
        </w:tc>
        <w:tc>
          <w:tcPr>
            <w:tcW w:type="dxa" w:w="2556"/>
            <w:vAlign w:val="center"/>
          </w:tcPr>
          <w:p>
            <w:r/>
            <w:r>
              <w:rPr>
                <w:rFonts w:ascii="Aptos" w:hAnsi="Aptos"/>
                <w:sz w:val="18"/>
              </w:rPr>
              <w:t>Arranges the classroom, distributes examination papers and answer sheets, and gives clear instructions before the examination begins.</w:t>
            </w:r>
          </w:p>
        </w:tc>
        <w:tc>
          <w:tcPr>
            <w:tcW w:type="dxa" w:w="2556"/>
            <w:vAlign w:val="center"/>
          </w:tcPr>
          <w:p>
            <w:r/>
            <w:r>
              <w:rPr>
                <w:rFonts w:ascii="Aptos" w:hAnsi="Aptos"/>
                <w:sz w:val="18"/>
              </w:rPr>
              <w:t>Sit appropriately, prepare writing materials and listen to instructions.</w:t>
            </w:r>
          </w:p>
        </w:tc>
        <w:tc>
          <w:tcPr>
            <w:tcW w:type="dxa" w:w="2556"/>
            <w:vAlign w:val="center"/>
          </w:tcPr>
          <w:p>
            <w:r/>
            <w:r>
              <w:rPr>
                <w:rFonts w:ascii="Aptos" w:hAnsi="Aptos"/>
                <w:sz w:val="18"/>
              </w:rPr>
              <w:t>Learners understand examination procedures.</w:t>
            </w:r>
          </w:p>
        </w:tc>
      </w:tr>
      <w:tr>
        <w:tc>
          <w:tcPr>
            <w:tcW w:type="dxa" w:w="2556"/>
            <w:vAlign w:val="center"/>
          </w:tcPr>
          <w:p>
            <w:r/>
            <w:r>
              <w:rPr>
                <w:rFonts w:ascii="Aptos" w:hAnsi="Aptos"/>
                <w:sz w:val="18"/>
              </w:rPr>
              <w:t>Instructions (5 min)</w:t>
            </w:r>
          </w:p>
        </w:tc>
        <w:tc>
          <w:tcPr>
            <w:tcW w:type="dxa" w:w="2556"/>
            <w:vAlign w:val="center"/>
          </w:tcPr>
          <w:p>
            <w:r/>
            <w:r>
              <w:rPr>
                <w:rFonts w:ascii="Aptos" w:hAnsi="Aptos"/>
                <w:sz w:val="18"/>
              </w:rPr>
              <w:t>Explains how to complete the paper, how to indicate answers, and the expected conduct during the examination.</w:t>
            </w:r>
          </w:p>
        </w:tc>
        <w:tc>
          <w:tcPr>
            <w:tcW w:type="dxa" w:w="2556"/>
            <w:vAlign w:val="center"/>
          </w:tcPr>
          <w:p>
            <w:r/>
            <w:r>
              <w:rPr>
                <w:rFonts w:ascii="Aptos" w:hAnsi="Aptos"/>
                <w:sz w:val="18"/>
              </w:rPr>
              <w:t>Read instructions and ask only necessary procedural questions before starting.</w:t>
            </w:r>
          </w:p>
        </w:tc>
        <w:tc>
          <w:tcPr>
            <w:tcW w:type="dxa" w:w="2556"/>
            <w:vAlign w:val="center"/>
          </w:tcPr>
          <w:p>
            <w:r/>
            <w:r>
              <w:rPr>
                <w:rFonts w:ascii="Aptos" w:hAnsi="Aptos"/>
                <w:sz w:val="18"/>
              </w:rPr>
              <w:t>Learners begin with a clear understanding of requirements.</w:t>
            </w:r>
          </w:p>
        </w:tc>
      </w:tr>
      <w:tr>
        <w:tc>
          <w:tcPr>
            <w:tcW w:type="dxa" w:w="2556"/>
            <w:vAlign w:val="center"/>
          </w:tcPr>
          <w:p>
            <w:r/>
            <w:r>
              <w:rPr>
                <w:rFonts w:ascii="Aptos" w:hAnsi="Aptos"/>
                <w:sz w:val="18"/>
              </w:rPr>
              <w:t>Examination (30 min)</w:t>
            </w:r>
          </w:p>
        </w:tc>
        <w:tc>
          <w:tcPr>
            <w:tcW w:type="dxa" w:w="2556"/>
            <w:vAlign w:val="center"/>
          </w:tcPr>
          <w:p>
            <w:r/>
            <w:r>
              <w:rPr>
                <w:rFonts w:ascii="Aptos" w:hAnsi="Aptos"/>
                <w:sz w:val="18"/>
              </w:rPr>
              <w:t>Supervises quietly, maintains examination conditions, monitors time and attends only to legitimate procedural issues.</w:t>
            </w:r>
          </w:p>
        </w:tc>
        <w:tc>
          <w:tcPr>
            <w:tcW w:type="dxa" w:w="2556"/>
            <w:vAlign w:val="center"/>
          </w:tcPr>
          <w:p>
            <w:r/>
            <w:r>
              <w:rPr>
                <w:rFonts w:ascii="Aptos" w:hAnsi="Aptos"/>
                <w:sz w:val="18"/>
              </w:rPr>
              <w:t>Work independently and answer the examination questions.</w:t>
            </w:r>
          </w:p>
        </w:tc>
        <w:tc>
          <w:tcPr>
            <w:tcW w:type="dxa" w:w="2556"/>
            <w:vAlign w:val="center"/>
          </w:tcPr>
          <w:p>
            <w:r/>
            <w:r>
              <w:rPr>
                <w:rFonts w:ascii="Aptos" w:hAnsi="Aptos"/>
                <w:sz w:val="18"/>
              </w:rPr>
              <w:t>Learners demonstrate their individual understanding.</w:t>
            </w:r>
          </w:p>
        </w:tc>
      </w:tr>
      <w:tr>
        <w:tc>
          <w:tcPr>
            <w:tcW w:type="dxa" w:w="2556"/>
            <w:vAlign w:val="center"/>
          </w:tcPr>
          <w:p>
            <w:r/>
            <w:r>
              <w:rPr>
                <w:rFonts w:ascii="Aptos" w:hAnsi="Aptos"/>
                <w:sz w:val="18"/>
              </w:rPr>
              <w:t>Time Reminder (3 min)</w:t>
            </w:r>
          </w:p>
        </w:tc>
        <w:tc>
          <w:tcPr>
            <w:tcW w:type="dxa" w:w="2556"/>
            <w:vAlign w:val="center"/>
          </w:tcPr>
          <w:p>
            <w:r/>
            <w:r>
              <w:rPr>
                <w:rFonts w:ascii="Aptos" w:hAnsi="Aptos"/>
                <w:sz w:val="18"/>
              </w:rPr>
              <w:t>Gives an appropriate time reminder and checks that learners have recorded their details correctly.</w:t>
            </w:r>
          </w:p>
        </w:tc>
        <w:tc>
          <w:tcPr>
            <w:tcW w:type="dxa" w:w="2556"/>
            <w:vAlign w:val="center"/>
          </w:tcPr>
          <w:p>
            <w:r/>
            <w:r>
              <w:rPr>
                <w:rFonts w:ascii="Aptos" w:hAnsi="Aptos"/>
                <w:sz w:val="18"/>
              </w:rPr>
              <w:t>Review unanswered items and complete responses.</w:t>
            </w:r>
          </w:p>
        </w:tc>
        <w:tc>
          <w:tcPr>
            <w:tcW w:type="dxa" w:w="2556"/>
            <w:vAlign w:val="center"/>
          </w:tcPr>
          <w:p>
            <w:r/>
            <w:r>
              <w:rPr>
                <w:rFonts w:ascii="Aptos" w:hAnsi="Aptos"/>
                <w:sz w:val="18"/>
              </w:rPr>
              <w:t>Learners manage remaining examination time.</w:t>
            </w:r>
          </w:p>
        </w:tc>
      </w:tr>
      <w:tr>
        <w:tc>
          <w:tcPr>
            <w:tcW w:type="dxa" w:w="2556"/>
            <w:vAlign w:val="center"/>
          </w:tcPr>
          <w:p>
            <w:r/>
            <w:r>
              <w:rPr>
                <w:rFonts w:ascii="Aptos" w:hAnsi="Aptos"/>
                <w:sz w:val="18"/>
              </w:rPr>
              <w:t>Collection (2 min)</w:t>
            </w:r>
          </w:p>
        </w:tc>
        <w:tc>
          <w:tcPr>
            <w:tcW w:type="dxa" w:w="2556"/>
            <w:vAlign w:val="center"/>
          </w:tcPr>
          <w:p>
            <w:r/>
            <w:r>
              <w:rPr>
                <w:rFonts w:ascii="Aptos" w:hAnsi="Aptos"/>
                <w:sz w:val="18"/>
              </w:rPr>
              <w:t>Collects answer sheets systematically and checks that all scripts are accounted for.</w:t>
            </w:r>
          </w:p>
        </w:tc>
        <w:tc>
          <w:tcPr>
            <w:tcW w:type="dxa" w:w="2556"/>
            <w:vAlign w:val="center"/>
          </w:tcPr>
          <w:p>
            <w:r/>
            <w:r>
              <w:rPr>
                <w:rFonts w:ascii="Aptos" w:hAnsi="Aptos"/>
                <w:sz w:val="18"/>
              </w:rPr>
              <w:t>Stop writing and submit answer sheets as directed.</w:t>
            </w:r>
          </w:p>
        </w:tc>
        <w:tc>
          <w:tcPr>
            <w:tcW w:type="dxa" w:w="2556"/>
            <w:vAlign w:val="center"/>
          </w:tcPr>
          <w:p>
            <w:r/>
            <w:r>
              <w:rPr>
                <w:rFonts w:ascii="Aptos" w:hAnsi="Aptos"/>
                <w:sz w:val="18"/>
              </w:rPr>
              <w:t>Scripts are collected securely for marking.</w:t>
            </w:r>
          </w:p>
        </w:tc>
      </w:tr>
    </w:tbl>
    <w:p>
      <w:pPr>
        <w:pStyle w:val="Heading3"/>
      </w:pPr>
      <w:r>
        <w:t>Assessment</w:t>
      </w:r>
    </w:p>
    <w:p>
      <w:pPr>
        <w:pStyle w:val="ListBullet"/>
      </w:pPr>
      <w:r>
        <w:t>Completion of the end-of-term examination.</w:t>
      </w:r>
    </w:p>
    <w:p>
      <w:pPr>
        <w:pStyle w:val="ListBullet"/>
      </w:pPr>
      <w:r>
        <w:t>Compliance with examination instructions and procedures.</w:t>
      </w:r>
    </w:p>
    <w:p>
      <w:pPr>
        <w:pStyle w:val="ListBullet"/>
      </w:pPr>
      <w:r>
        <w:t>Clear and complete recording of answers.</w:t>
      </w:r>
    </w:p>
    <w:p>
      <w:pPr>
        <w:pStyle w:val="Heading3"/>
      </w:pPr>
      <w:r>
        <w:t>Differentiation / Support</w:t>
      </w:r>
    </w:p>
    <w:p>
      <w:pPr>
        <w:pStyle w:val="ListBullet"/>
      </w:pPr>
      <w:r>
        <w:t>Read instructions aloud where permitted by the examination procedure without explaining content.</w:t>
      </w:r>
    </w:p>
    <w:p>
      <w:pPr>
        <w:pStyle w:val="ListBullet"/>
      </w:pPr>
      <w:r>
        <w:t>Ensure seating and conditions allow all learners to work independently.</w:t>
      </w:r>
    </w:p>
    <w:p>
      <w:pPr>
        <w:pStyle w:val="ListBullet"/>
      </w:pPr>
      <w:r>
        <w:t>Provide procedural clarification without giving answers.</w:t>
      </w:r>
    </w:p>
    <w:p>
      <w:pPr>
        <w:pStyle w:val="Heading3"/>
      </w:pPr>
      <w:r>
        <w:t>Homework / Follow-up</w:t>
      </w:r>
    </w:p>
    <w:p>
      <w:r>
        <w:t>After the examination, learners should reflect privately on areas they found difficult; no new content is assigned.</w:t>
      </w:r>
    </w:p>
    <w:p>
      <w:pPr>
        <w:pStyle w:val="Heading2"/>
      </w:pPr>
      <w:r>
        <w:t>Lesson Plan 2: Marking, Recording and Feedback</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Lesson Information</w:t>
            </w:r>
          </w:p>
        </w:tc>
        <w:tc>
          <w:tcPr>
            <w:tcW w:type="dxa" w:w="5112"/>
            <w:shd w:fill="D9E2F3"/>
            <w:vAlign w:val="center"/>
          </w:tcPr>
          <w:p>
            <w:r/>
            <w:r>
              <w:rPr>
                <w:rFonts w:ascii="Aptos" w:hAnsi="Aptos"/>
                <w:b/>
                <w:sz w:val="18"/>
              </w:rPr>
              <w:t>Details</w:t>
            </w:r>
          </w:p>
        </w:tc>
      </w:tr>
      <w:tr>
        <w:tc>
          <w:tcPr>
            <w:tcW w:type="dxa" w:w="5112"/>
            <w:vAlign w:val="center"/>
          </w:tcPr>
          <w:p>
            <w:r/>
            <w:r>
              <w:rPr>
                <w:rFonts w:ascii="Aptos" w:hAnsi="Aptos"/>
                <w:sz w:val="18"/>
              </w:rPr>
              <w:t>Subject</w:t>
            </w:r>
          </w:p>
        </w:tc>
        <w:tc>
          <w:tcPr>
            <w:tcW w:type="dxa" w:w="5112"/>
            <w:vAlign w:val="center"/>
          </w:tcPr>
          <w:p>
            <w:r/>
            <w:r>
              <w:rPr>
                <w:rFonts w:ascii="Aptos" w:hAnsi="Aptos"/>
                <w:sz w:val="18"/>
              </w:rPr>
              <w:t>Social Studies</w:t>
            </w:r>
          </w:p>
        </w:tc>
      </w:tr>
      <w:tr>
        <w:tc>
          <w:tcPr>
            <w:tcW w:type="dxa" w:w="5112"/>
            <w:vAlign w:val="center"/>
          </w:tcPr>
          <w:p>
            <w:r/>
            <w:r>
              <w:rPr>
                <w:rFonts w:ascii="Aptos" w:hAnsi="Aptos"/>
                <w:sz w:val="18"/>
              </w:rPr>
              <w:t>Class</w:t>
            </w:r>
          </w:p>
        </w:tc>
        <w:tc>
          <w:tcPr>
            <w:tcW w:type="dxa" w:w="5112"/>
            <w:vAlign w:val="center"/>
          </w:tcPr>
          <w:p>
            <w:r/>
            <w:r>
              <w:rPr>
                <w:rFonts w:ascii="Aptos" w:hAnsi="Aptos"/>
                <w:sz w:val="18"/>
              </w:rPr>
              <w:t>Basic 8</w:t>
            </w:r>
          </w:p>
        </w:tc>
      </w:tr>
      <w:tr>
        <w:tc>
          <w:tcPr>
            <w:tcW w:type="dxa" w:w="5112"/>
            <w:vAlign w:val="center"/>
          </w:tcPr>
          <w:p>
            <w:r/>
            <w:r>
              <w:rPr>
                <w:rFonts w:ascii="Aptos" w:hAnsi="Aptos"/>
                <w:sz w:val="18"/>
              </w:rPr>
              <w:t>Term / Week / Lesson</w:t>
            </w:r>
          </w:p>
        </w:tc>
        <w:tc>
          <w:tcPr>
            <w:tcW w:type="dxa" w:w="5112"/>
            <w:vAlign w:val="center"/>
          </w:tcPr>
          <w:p>
            <w:r/>
            <w:r>
              <w:rPr>
                <w:rFonts w:ascii="Aptos" w:hAnsi="Aptos"/>
                <w:sz w:val="18"/>
              </w:rPr>
              <w:t>Term One / Week 15 / Lesson 2</w:t>
            </w:r>
          </w:p>
        </w:tc>
      </w:tr>
      <w:tr>
        <w:tc>
          <w:tcPr>
            <w:tcW w:type="dxa" w:w="5112"/>
            <w:vAlign w:val="center"/>
          </w:tcPr>
          <w:p>
            <w:r/>
            <w:r>
              <w:rPr>
                <w:rFonts w:ascii="Aptos" w:hAnsi="Aptos"/>
                <w:sz w:val="18"/>
              </w:rPr>
              <w:t>Topic</w:t>
            </w:r>
          </w:p>
        </w:tc>
        <w:tc>
          <w:tcPr>
            <w:tcW w:type="dxa" w:w="5112"/>
            <w:vAlign w:val="center"/>
          </w:tcPr>
          <w:p>
            <w:r/>
            <w:r>
              <w:rPr>
                <w:rFonts w:ascii="Aptos" w:hAnsi="Aptos"/>
                <w:sz w:val="18"/>
              </w:rPr>
              <w:t>Marking, Recording and Feedback</w:t>
            </w:r>
          </w:p>
        </w:tc>
      </w:tr>
      <w:tr>
        <w:tc>
          <w:tcPr>
            <w:tcW w:type="dxa" w:w="5112"/>
            <w:vAlign w:val="center"/>
          </w:tcPr>
          <w:p>
            <w:r/>
            <w:r>
              <w:rPr>
                <w:rFonts w:ascii="Aptos" w:hAnsi="Aptos"/>
                <w:sz w:val="18"/>
              </w:rPr>
              <w:t>Strand / Sub-Strand</w:t>
            </w:r>
          </w:p>
        </w:tc>
        <w:tc>
          <w:tcPr>
            <w:tcW w:type="dxa" w:w="5112"/>
            <w:vAlign w:val="center"/>
          </w:tcPr>
          <w:p>
            <w:r/>
            <w:r>
              <w:rPr>
                <w:rFonts w:ascii="Aptos" w:hAnsi="Aptos"/>
                <w:sz w:val="18"/>
              </w:rPr>
              <w:t>End-of-Term Examination — All topics covered in the term</w:t>
            </w:r>
          </w:p>
        </w:tc>
      </w:tr>
      <w:tr>
        <w:tc>
          <w:tcPr>
            <w:tcW w:type="dxa" w:w="5112"/>
            <w:vAlign w:val="center"/>
          </w:tcPr>
          <w:p>
            <w:r/>
            <w:r>
              <w:rPr>
                <w:rFonts w:ascii="Aptos" w:hAnsi="Aptos"/>
                <w:sz w:val="18"/>
              </w:rPr>
              <w:t>Content Standard / Indicator</w:t>
            </w:r>
          </w:p>
        </w:tc>
        <w:tc>
          <w:tcPr>
            <w:tcW w:type="dxa" w:w="5112"/>
            <w:vAlign w:val="center"/>
          </w:tcPr>
          <w:p>
            <w:r/>
            <w:r>
              <w:rPr>
                <w:rFonts w:ascii="Aptos" w:hAnsi="Aptos"/>
                <w:sz w:val="18"/>
              </w:rPr>
              <w:t>All content standards/indicators covered in Weeks 1–13</w:t>
            </w:r>
          </w:p>
        </w:tc>
      </w:tr>
      <w:tr>
        <w:tc>
          <w:tcPr>
            <w:tcW w:type="dxa" w:w="5112"/>
            <w:vAlign w:val="center"/>
          </w:tcPr>
          <w:p>
            <w:r/>
            <w:r>
              <w:rPr>
                <w:rFonts w:ascii="Aptos" w:hAnsi="Aptos"/>
                <w:sz w:val="18"/>
              </w:rPr>
              <w:t>Duration</w:t>
            </w:r>
          </w:p>
        </w:tc>
        <w:tc>
          <w:tcPr>
            <w:tcW w:type="dxa" w:w="5112"/>
            <w:vAlign w:val="center"/>
          </w:tcPr>
          <w:p>
            <w:r/>
            <w:r>
              <w:rPr>
                <w:rFonts w:ascii="Aptos" w:hAnsi="Aptos"/>
                <w:sz w:val="18"/>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8"/>
              </w:rPr>
              <w:t>Previous Knowledge</w:t>
            </w:r>
          </w:p>
        </w:tc>
        <w:tc>
          <w:tcPr>
            <w:tcW w:type="dxa" w:w="5112"/>
            <w:vAlign w:val="center"/>
          </w:tcPr>
          <w:p>
            <w:r/>
            <w:r>
              <w:rPr>
                <w:rFonts w:ascii="Aptos" w:hAnsi="Aptos"/>
                <w:sz w:val="18"/>
              </w:rPr>
              <w:t>The class has completed the end-of-term examination. The examination covers content taught during Weeks 1–13.</w:t>
            </w:r>
          </w:p>
        </w:tc>
      </w:tr>
      <w:tr>
        <w:tc>
          <w:tcPr>
            <w:tcW w:type="dxa" w:w="5112"/>
            <w:vAlign w:val="center"/>
          </w:tcPr>
          <w:p>
            <w:r/>
            <w:r>
              <w:rPr>
                <w:rFonts w:ascii="Aptos" w:hAnsi="Aptos"/>
                <w:sz w:val="18"/>
              </w:rPr>
              <w:t>Learning Objectives</w:t>
            </w:r>
          </w:p>
        </w:tc>
        <w:tc>
          <w:tcPr>
            <w:tcW w:type="dxa" w:w="5112"/>
            <w:vAlign w:val="center"/>
          </w:tcPr>
          <w:p>
            <w:r/>
            <w:r>
              <w:rPr>
                <w:rFonts w:ascii="Aptos" w:hAnsi="Aptos"/>
                <w:sz w:val="18"/>
              </w:rPr>
              <w:t>1. Apply the examination marking scheme consistently.</w:t>
              <w:br/>
              <w:t>2. Calculate and record learners' scores accurately.</w:t>
              <w:br/>
              <w:t>3. Identify common strengths and learning gaps from the examination.</w:t>
              <w:br/>
              <w:t>4. Provide constructive feedback that guides future learning.</w:t>
            </w:r>
          </w:p>
        </w:tc>
      </w:tr>
      <w:tr>
        <w:tc>
          <w:tcPr>
            <w:tcW w:type="dxa" w:w="5112"/>
            <w:vAlign w:val="center"/>
          </w:tcPr>
          <w:p>
            <w:r/>
            <w:r>
              <w:rPr>
                <w:rFonts w:ascii="Aptos" w:hAnsi="Aptos"/>
                <w:sz w:val="18"/>
              </w:rPr>
              <w:t>Key Concepts</w:t>
            </w:r>
          </w:p>
        </w:tc>
        <w:tc>
          <w:tcPr>
            <w:tcW w:type="dxa" w:w="5112"/>
            <w:vAlign w:val="center"/>
          </w:tcPr>
          <w:p>
            <w:r/>
            <w:r>
              <w:rPr>
                <w:rFonts w:ascii="Aptos" w:hAnsi="Aptos"/>
                <w:sz w:val="18"/>
              </w:rPr>
              <w:t>marking scheme, score, feedback, error analysis, recording</w:t>
            </w:r>
          </w:p>
        </w:tc>
      </w:tr>
      <w:tr>
        <w:tc>
          <w:tcPr>
            <w:tcW w:type="dxa" w:w="5112"/>
            <w:vAlign w:val="center"/>
          </w:tcPr>
          <w:p>
            <w:r/>
            <w:r>
              <w:rPr>
                <w:rFonts w:ascii="Aptos" w:hAnsi="Aptos"/>
                <w:sz w:val="18"/>
              </w:rPr>
              <w:t>Core Competencies</w:t>
            </w:r>
          </w:p>
        </w:tc>
        <w:tc>
          <w:tcPr>
            <w:tcW w:type="dxa" w:w="5112"/>
            <w:vAlign w:val="center"/>
          </w:tcPr>
          <w:p>
            <w:r/>
            <w:r>
              <w:rPr>
                <w:rFonts w:ascii="Aptos" w:hAnsi="Aptos"/>
                <w:sz w:val="18"/>
              </w:rPr>
              <w:t>Communication and Collaboration, Critical Thinking and Problem Solving, Personal Development</w:t>
            </w:r>
          </w:p>
        </w:tc>
      </w:tr>
      <w:tr>
        <w:tc>
          <w:tcPr>
            <w:tcW w:type="dxa" w:w="5112"/>
            <w:vAlign w:val="center"/>
          </w:tcPr>
          <w:p>
            <w:r/>
            <w:r>
              <w:rPr>
                <w:rFonts w:ascii="Aptos" w:hAnsi="Aptos"/>
                <w:sz w:val="18"/>
              </w:rPr>
              <w:t>Values / Attitudes</w:t>
            </w:r>
          </w:p>
        </w:tc>
        <w:tc>
          <w:tcPr>
            <w:tcW w:type="dxa" w:w="5112"/>
            <w:vAlign w:val="center"/>
          </w:tcPr>
          <w:p>
            <w:r/>
            <w:r>
              <w:rPr>
                <w:rFonts w:ascii="Aptos" w:hAnsi="Aptos"/>
                <w:sz w:val="18"/>
              </w:rPr>
              <w:t>Fairness, Accuracy, Confidentiality, Responsibility</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Examination papers, answer sheets, marking scheme, recording sheet</w:t>
            </w:r>
          </w:p>
        </w:tc>
      </w:tr>
      <w:tr>
        <w:tc>
          <w:tcPr>
            <w:tcW w:type="dxa" w:w="5112"/>
            <w:vAlign w:val="center"/>
          </w:tcPr>
          <w:p>
            <w:r/>
            <w:r>
              <w:rPr>
                <w:rFonts w:ascii="Aptos" w:hAnsi="Aptos"/>
                <w:sz w:val="18"/>
              </w:rPr>
              <w:t>Performance Indicator</w:t>
            </w:r>
          </w:p>
        </w:tc>
        <w:tc>
          <w:tcPr>
            <w:tcW w:type="dxa" w:w="5112"/>
            <w:vAlign w:val="center"/>
          </w:tcPr>
          <w:p>
            <w:r/>
            <w:r>
              <w:rPr>
                <w:rFonts w:ascii="Aptos" w:hAnsi="Aptos"/>
                <w:sz w:val="18"/>
              </w:rPr>
              <w:t>Not separately specified in the supplied Scheme of Learning for the examination week.</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8"/>
              </w:rPr>
              <w:t>Stage / Time</w:t>
            </w:r>
          </w:p>
        </w:tc>
        <w:tc>
          <w:tcPr>
            <w:tcW w:type="dxa" w:w="2556"/>
            <w:shd w:fill="D9E2F3"/>
            <w:vAlign w:val="center"/>
          </w:tcPr>
          <w:p>
            <w:r/>
            <w:r>
              <w:rPr>
                <w:rFonts w:ascii="Aptos" w:hAnsi="Aptos"/>
                <w:b/>
                <w:sz w:val="18"/>
              </w:rPr>
              <w:t>Teacher Activities</w:t>
            </w:r>
          </w:p>
        </w:tc>
        <w:tc>
          <w:tcPr>
            <w:tcW w:type="dxa" w:w="2556"/>
            <w:shd w:fill="D9E2F3"/>
            <w:vAlign w:val="center"/>
          </w:tcPr>
          <w:p>
            <w:r/>
            <w:r>
              <w:rPr>
                <w:rFonts w:ascii="Aptos" w:hAnsi="Aptos"/>
                <w:b/>
                <w:sz w:val="18"/>
              </w:rPr>
              <w:t>Learner Activities</w:t>
            </w:r>
          </w:p>
        </w:tc>
        <w:tc>
          <w:tcPr>
            <w:tcW w:type="dxa" w:w="2556"/>
            <w:shd w:fill="D9E2F3"/>
            <w:vAlign w:val="center"/>
          </w:tcPr>
          <w:p>
            <w:r/>
            <w:r>
              <w:rPr>
                <w:rFonts w:ascii="Aptos" w:hAnsi="Aptos"/>
                <w:b/>
                <w:sz w:val="18"/>
              </w:rPr>
              <w:t>Expected Learning</w:t>
            </w:r>
          </w:p>
        </w:tc>
      </w:tr>
      <w:tr>
        <w:tc>
          <w:tcPr>
            <w:tcW w:type="dxa" w:w="2556"/>
            <w:vAlign w:val="center"/>
          </w:tcPr>
          <w:p>
            <w:r/>
            <w:r>
              <w:rPr>
                <w:rFonts w:ascii="Aptos" w:hAnsi="Aptos"/>
                <w:sz w:val="18"/>
              </w:rPr>
              <w:t>Preparation (5 min)</w:t>
            </w:r>
          </w:p>
        </w:tc>
        <w:tc>
          <w:tcPr>
            <w:tcW w:type="dxa" w:w="2556"/>
            <w:vAlign w:val="center"/>
          </w:tcPr>
          <w:p>
            <w:r/>
            <w:r>
              <w:rPr>
                <w:rFonts w:ascii="Aptos" w:hAnsi="Aptos"/>
                <w:sz w:val="18"/>
              </w:rPr>
              <w:t>Organises scripts and marking materials and explains the marking process to learners if appropriate.</w:t>
            </w:r>
          </w:p>
        </w:tc>
        <w:tc>
          <w:tcPr>
            <w:tcW w:type="dxa" w:w="2556"/>
            <w:vAlign w:val="center"/>
          </w:tcPr>
          <w:p>
            <w:r/>
            <w:r>
              <w:rPr>
                <w:rFonts w:ascii="Aptos" w:hAnsi="Aptos"/>
                <w:sz w:val="18"/>
              </w:rPr>
              <w:t>Review the importance of accurate and fair assessment.</w:t>
            </w:r>
          </w:p>
        </w:tc>
        <w:tc>
          <w:tcPr>
            <w:tcW w:type="dxa" w:w="2556"/>
            <w:vAlign w:val="center"/>
          </w:tcPr>
          <w:p>
            <w:r/>
            <w:r>
              <w:rPr>
                <w:rFonts w:ascii="Aptos" w:hAnsi="Aptos"/>
                <w:sz w:val="18"/>
              </w:rPr>
              <w:t>Learners understand the purpose of marking.</w:t>
            </w:r>
          </w:p>
        </w:tc>
      </w:tr>
      <w:tr>
        <w:tc>
          <w:tcPr>
            <w:tcW w:type="dxa" w:w="2556"/>
            <w:vAlign w:val="center"/>
          </w:tcPr>
          <w:p>
            <w:r/>
            <w:r>
              <w:rPr>
                <w:rFonts w:ascii="Aptos" w:hAnsi="Aptos"/>
                <w:sz w:val="18"/>
              </w:rPr>
              <w:t>Marking (25 min)</w:t>
            </w:r>
          </w:p>
        </w:tc>
        <w:tc>
          <w:tcPr>
            <w:tcW w:type="dxa" w:w="2556"/>
            <w:vAlign w:val="center"/>
          </w:tcPr>
          <w:p>
            <w:r/>
            <w:r>
              <w:rPr>
                <w:rFonts w:ascii="Aptos" w:hAnsi="Aptos"/>
                <w:sz w:val="18"/>
              </w:rPr>
              <w:t>Marks scripts using the examination marking scheme or agreed answers. Applies marks consistently and records scores carefully.</w:t>
            </w:r>
          </w:p>
        </w:tc>
        <w:tc>
          <w:tcPr>
            <w:tcW w:type="dxa" w:w="2556"/>
            <w:vAlign w:val="center"/>
          </w:tcPr>
          <w:p>
            <w:r/>
            <w:r>
              <w:rPr>
                <w:rFonts w:ascii="Aptos" w:hAnsi="Aptos"/>
                <w:sz w:val="18"/>
              </w:rPr>
              <w:t>Where appropriate, complete a self-reflection task while marking is conducted.</w:t>
            </w:r>
          </w:p>
        </w:tc>
        <w:tc>
          <w:tcPr>
            <w:tcW w:type="dxa" w:w="2556"/>
            <w:vAlign w:val="center"/>
          </w:tcPr>
          <w:p>
            <w:r/>
            <w:r>
              <w:rPr>
                <w:rFonts w:ascii="Aptos" w:hAnsi="Aptos"/>
                <w:sz w:val="18"/>
              </w:rPr>
              <w:t>Accurate assessment information is produced.</w:t>
            </w:r>
          </w:p>
        </w:tc>
      </w:tr>
      <w:tr>
        <w:tc>
          <w:tcPr>
            <w:tcW w:type="dxa" w:w="2556"/>
            <w:vAlign w:val="center"/>
          </w:tcPr>
          <w:p>
            <w:r/>
            <w:r>
              <w:rPr>
                <w:rFonts w:ascii="Aptos" w:hAnsi="Aptos"/>
                <w:sz w:val="18"/>
              </w:rPr>
              <w:t>Checking (5 min)</w:t>
            </w:r>
          </w:p>
        </w:tc>
        <w:tc>
          <w:tcPr>
            <w:tcW w:type="dxa" w:w="2556"/>
            <w:vAlign w:val="center"/>
          </w:tcPr>
          <w:p>
            <w:r/>
            <w:r>
              <w:rPr>
                <w:rFonts w:ascii="Aptos" w:hAnsi="Aptos"/>
                <w:sz w:val="18"/>
              </w:rPr>
              <w:t>Checks totals and reviews scripts for omitted marks or addition errors.</w:t>
            </w:r>
          </w:p>
        </w:tc>
        <w:tc>
          <w:tcPr>
            <w:tcW w:type="dxa" w:w="2556"/>
            <w:vAlign w:val="center"/>
          </w:tcPr>
          <w:p>
            <w:r/>
            <w:r>
              <w:rPr>
                <w:rFonts w:ascii="Aptos" w:hAnsi="Aptos"/>
                <w:sz w:val="18"/>
              </w:rPr>
              <w:t>Observe the correction process where feedback is being discussed.</w:t>
            </w:r>
          </w:p>
        </w:tc>
        <w:tc>
          <w:tcPr>
            <w:tcW w:type="dxa" w:w="2556"/>
            <w:vAlign w:val="center"/>
          </w:tcPr>
          <w:p>
            <w:r/>
            <w:r>
              <w:rPr>
                <w:rFonts w:ascii="Aptos" w:hAnsi="Aptos"/>
                <w:sz w:val="18"/>
              </w:rPr>
              <w:t>Errors in recording are reduced.</w:t>
            </w:r>
          </w:p>
        </w:tc>
      </w:tr>
      <w:tr>
        <w:tc>
          <w:tcPr>
            <w:tcW w:type="dxa" w:w="2556"/>
            <w:vAlign w:val="center"/>
          </w:tcPr>
          <w:p>
            <w:r/>
            <w:r>
              <w:rPr>
                <w:rFonts w:ascii="Aptos" w:hAnsi="Aptos"/>
                <w:sz w:val="18"/>
              </w:rPr>
              <w:t>Feedback (5 min)</w:t>
            </w:r>
          </w:p>
        </w:tc>
        <w:tc>
          <w:tcPr>
            <w:tcW w:type="dxa" w:w="2556"/>
            <w:vAlign w:val="center"/>
          </w:tcPr>
          <w:p>
            <w:r/>
            <w:r>
              <w:rPr>
                <w:rFonts w:ascii="Aptos" w:hAnsi="Aptos"/>
                <w:sz w:val="18"/>
              </w:rPr>
              <w:t>Discusses common strengths and errors without embarrassing individual learners. Identifies topics requiring further learning.</w:t>
            </w:r>
          </w:p>
        </w:tc>
        <w:tc>
          <w:tcPr>
            <w:tcW w:type="dxa" w:w="2556"/>
            <w:vAlign w:val="center"/>
          </w:tcPr>
          <w:p>
            <w:r/>
            <w:r>
              <w:rPr>
                <w:rFonts w:ascii="Aptos" w:hAnsi="Aptos"/>
                <w:sz w:val="18"/>
              </w:rPr>
              <w:t>Listen to feedback and identify personal areas for improvement.</w:t>
            </w:r>
          </w:p>
        </w:tc>
        <w:tc>
          <w:tcPr>
            <w:tcW w:type="dxa" w:w="2556"/>
            <w:vAlign w:val="center"/>
          </w:tcPr>
          <w:p>
            <w:r/>
            <w:r>
              <w:rPr>
                <w:rFonts w:ascii="Aptos" w:hAnsi="Aptos"/>
                <w:sz w:val="18"/>
              </w:rPr>
              <w:t>Learners understand common learning gaps.</w:t>
            </w:r>
          </w:p>
        </w:tc>
      </w:tr>
      <w:tr>
        <w:tc>
          <w:tcPr>
            <w:tcW w:type="dxa" w:w="2556"/>
            <w:vAlign w:val="center"/>
          </w:tcPr>
          <w:p>
            <w:r/>
            <w:r>
              <w:rPr>
                <w:rFonts w:ascii="Aptos" w:hAnsi="Aptos"/>
                <w:sz w:val="18"/>
              </w:rPr>
              <w:t>Conclusion (5 min)</w:t>
            </w:r>
          </w:p>
        </w:tc>
        <w:tc>
          <w:tcPr>
            <w:tcW w:type="dxa" w:w="2556"/>
            <w:vAlign w:val="center"/>
          </w:tcPr>
          <w:p>
            <w:r/>
            <w:r>
              <w:rPr>
                <w:rFonts w:ascii="Aptos" w:hAnsi="Aptos"/>
                <w:sz w:val="18"/>
              </w:rPr>
              <w:t>Explains how examination results will guide subsequent teaching and learning.</w:t>
            </w:r>
          </w:p>
        </w:tc>
        <w:tc>
          <w:tcPr>
            <w:tcW w:type="dxa" w:w="2556"/>
            <w:vAlign w:val="center"/>
          </w:tcPr>
          <w:p>
            <w:r/>
            <w:r>
              <w:rPr>
                <w:rFonts w:ascii="Aptos" w:hAnsi="Aptos"/>
                <w:sz w:val="18"/>
              </w:rPr>
              <w:t>Set one or two personal improvement targets.</w:t>
            </w:r>
          </w:p>
        </w:tc>
        <w:tc>
          <w:tcPr>
            <w:tcW w:type="dxa" w:w="2556"/>
            <w:vAlign w:val="center"/>
          </w:tcPr>
          <w:p>
            <w:r/>
            <w:r>
              <w:rPr>
                <w:rFonts w:ascii="Aptos" w:hAnsi="Aptos"/>
                <w:sz w:val="18"/>
              </w:rPr>
              <w:t>Learners connect assessment with improvement.</w:t>
            </w:r>
          </w:p>
        </w:tc>
      </w:tr>
    </w:tbl>
    <w:p>
      <w:pPr>
        <w:pStyle w:val="Heading3"/>
      </w:pPr>
      <w:r>
        <w:t>Assessment</w:t>
      </w:r>
    </w:p>
    <w:p>
      <w:pPr>
        <w:pStyle w:val="ListBullet"/>
      </w:pPr>
      <w:r>
        <w:t>Accurate marking according to the marking scheme.</w:t>
      </w:r>
    </w:p>
    <w:p>
      <w:pPr>
        <w:pStyle w:val="ListBullet"/>
      </w:pPr>
      <w:r>
        <w:t>Correct addition and recording of scores.</w:t>
      </w:r>
    </w:p>
    <w:p>
      <w:pPr>
        <w:pStyle w:val="ListBullet"/>
      </w:pPr>
      <w:r>
        <w:t>Identification of recurring learning difficulties.</w:t>
      </w:r>
    </w:p>
    <w:p>
      <w:pPr>
        <w:pStyle w:val="ListBullet"/>
      </w:pPr>
      <w:r>
        <w:t>Constructive feedback to learners.</w:t>
      </w:r>
    </w:p>
    <w:p>
      <w:pPr>
        <w:pStyle w:val="Heading3"/>
      </w:pPr>
      <w:r>
        <w:t>Differentiation / Support</w:t>
      </w:r>
    </w:p>
    <w:p>
      <w:pPr>
        <w:pStyle w:val="ListBullet"/>
      </w:pPr>
      <w:r>
        <w:t>Use the same marking criteria for all scripts.</w:t>
      </w:r>
    </w:p>
    <w:p>
      <w:pPr>
        <w:pStyle w:val="ListBullet"/>
      </w:pPr>
      <w:r>
        <w:t>Recheck totals and questionable responses before finalising scores.</w:t>
      </w:r>
    </w:p>
    <w:p>
      <w:pPr>
        <w:pStyle w:val="ListBullet"/>
      </w:pPr>
      <w:r>
        <w:t>When discussing errors, focus on the learning issue rather than publicly singling out a learner.</w:t>
      </w:r>
    </w:p>
    <w:p>
      <w:pPr>
        <w:pStyle w:val="Heading3"/>
      </w:pPr>
      <w:r>
        <w:t>Homework / Follow-up</w:t>
      </w:r>
    </w:p>
    <w:p>
      <w:r>
        <w:t>Review the examination corrections when returned and revise the topics identified as difficult.</w:t>
      </w:r>
    </w:p>
    <w:p>
      <w:r>
        <w:br w:type="page"/>
      </w:r>
    </w:p>
    <w:p>
      <w:pPr>
        <w:pStyle w:val="Heading1"/>
      </w:pPr>
      <w:r>
        <w:t>PART III — LESSON NOTES</w:t>
      </w:r>
    </w:p>
    <w:p>
      <w:pPr>
        <w:pStyle w:val="Heading2"/>
      </w:pPr>
      <w:r>
        <w:t>Lesson Note 1: Administration of the End-of-Term Examination</w:t>
      </w:r>
    </w:p>
    <w:p>
      <w:r>
        <w:t>Topic: End-of-Term Examination</w:t>
      </w:r>
    </w:p>
    <w:p>
      <w:pPr>
        <w:pStyle w:val="Heading3"/>
      </w:pPr>
      <w:r>
        <w:t>Purpose</w:t>
      </w:r>
    </w:p>
    <w:p>
      <w:r>
        <w:t>The end-of-term examination provides an opportunity to assess learners' individual understanding of the Social Studies topics taught during the term. The examination should assess only content that has been taught and revised.</w:t>
      </w:r>
    </w:p>
    <w:p>
      <w:pPr>
        <w:pStyle w:val="Heading3"/>
      </w:pPr>
      <w:r>
        <w:t>Coverage</w:t>
      </w:r>
    </w:p>
    <w:p>
      <w:pPr>
        <w:pStyle w:val="ListBullet"/>
      </w:pPr>
      <w:r>
        <w:t>Environmental problems in Ghana, including deforestation, pollution, causes, effects, solutions and sanitation.</w:t>
      </w:r>
    </w:p>
    <w:p>
      <w:pPr>
        <w:pStyle w:val="ListBullet"/>
      </w:pPr>
      <w:r>
        <w:t>Interpretation of maps of Ghana and Africa, including relevant physical and political map information.</w:t>
      </w:r>
    </w:p>
    <w:p>
      <w:pPr>
        <w:pStyle w:val="ListBullet"/>
      </w:pPr>
      <w:r>
        <w:t>Nuclear and extended family systems, functions and importance of the family.</w:t>
      </w:r>
    </w:p>
    <w:p>
      <w:pPr>
        <w:pStyle w:val="ListBullet"/>
      </w:pPr>
      <w:r>
        <w:t>Ways learners can contribute to community development and the planning of simple community service activities.</w:t>
      </w:r>
    </w:p>
    <w:p>
      <w:pPr>
        <w:pStyle w:val="ListBullet"/>
      </w:pPr>
      <w:r>
        <w:t>Causes of conflict in school and community, peaceful conflict-resolution methods and conflict-resolution role-play learning.</w:t>
      </w:r>
    </w:p>
    <w:p>
      <w:pPr>
        <w:pStyle w:val="Heading3"/>
      </w:pPr>
      <w:r>
        <w:t>Examination Procedures</w:t>
      </w:r>
    </w:p>
    <w:p>
      <w:pPr>
        <w:pStyle w:val="ListNumber"/>
      </w:pPr>
      <w:r>
        <w:t>Prepare the examination room and ensure that learners have the required writing materials.</w:t>
      </w:r>
    </w:p>
    <w:p>
      <w:pPr>
        <w:pStyle w:val="ListNumber"/>
      </w:pPr>
      <w:r>
        <w:t>Distribute examination papers and answer sheets according to the school's examination procedure.</w:t>
      </w:r>
    </w:p>
    <w:p>
      <w:pPr>
        <w:pStyle w:val="ListNumber"/>
      </w:pPr>
      <w:r>
        <w:t>Give clear instructions before learners begin.</w:t>
      </w:r>
    </w:p>
    <w:p>
      <w:pPr>
        <w:pStyle w:val="ListNumber"/>
      </w:pPr>
      <w:r>
        <w:t>Ensure learners work independently and maintain appropriate examination conduct.</w:t>
      </w:r>
    </w:p>
    <w:p>
      <w:pPr>
        <w:pStyle w:val="ListNumber"/>
      </w:pPr>
      <w:r>
        <w:t>Give time reminders at suitable points without giving content-related assistance.</w:t>
      </w:r>
    </w:p>
    <w:p>
      <w:pPr>
        <w:pStyle w:val="ListNumber"/>
      </w:pPr>
      <w:r>
        <w:t>Collect all answer sheets systematically when the examination ends.</w:t>
      </w:r>
    </w:p>
    <w:p>
      <w:pPr>
        <w:pStyle w:val="ListNumber"/>
      </w:pPr>
      <w:r>
        <w:t>Keep completed scripts secure until marking.</w:t>
      </w:r>
    </w:p>
    <w:p>
      <w:pPr>
        <w:pStyle w:val="Heading3"/>
      </w:pPr>
      <w:r>
        <w:t>Teacher's Role During the Examination</w:t>
      </w:r>
    </w:p>
    <w:p>
      <w:pPr>
        <w:pStyle w:val="ListBullet"/>
      </w:pPr>
      <w:r>
        <w:t>Maintain a calm and orderly examination environment.</w:t>
      </w:r>
    </w:p>
    <w:p>
      <w:pPr>
        <w:pStyle w:val="ListBullet"/>
      </w:pPr>
      <w:r>
        <w:t>Clarify procedural instructions when necessary without explaining answers.</w:t>
      </w:r>
    </w:p>
    <w:p>
      <w:pPr>
        <w:pStyle w:val="ListBullet"/>
      </w:pPr>
      <w:r>
        <w:t>Monitor time and general examination conditions.</w:t>
      </w:r>
    </w:p>
    <w:p>
      <w:pPr>
        <w:pStyle w:val="ListBullet"/>
      </w:pPr>
      <w:r>
        <w:t>Ensure that all scripts are collected and accounted for.</w:t>
      </w:r>
    </w:p>
    <w:p>
      <w:pPr>
        <w:pStyle w:val="Heading3"/>
      </w:pPr>
      <w:r>
        <w:t>Learner's Role</w:t>
      </w:r>
    </w:p>
    <w:p>
      <w:pPr>
        <w:pStyle w:val="ListBullet"/>
      </w:pPr>
      <w:r>
        <w:t>Read and follow all instructions carefully.</w:t>
      </w:r>
    </w:p>
    <w:p>
      <w:pPr>
        <w:pStyle w:val="ListBullet"/>
      </w:pPr>
      <w:r>
        <w:t>Work independently and honestly.</w:t>
      </w:r>
    </w:p>
    <w:p>
      <w:pPr>
        <w:pStyle w:val="ListBullet"/>
      </w:pPr>
      <w:r>
        <w:t>Manage the available time carefully.</w:t>
      </w:r>
    </w:p>
    <w:p>
      <w:pPr>
        <w:pStyle w:val="ListBullet"/>
      </w:pPr>
      <w:r>
        <w:t>Write answers clearly and check responses before submitting the script.</w:t>
      </w:r>
    </w:p>
    <w:p>
      <w:pPr>
        <w:pStyle w:val="Heading3"/>
      </w:pPr>
      <w:r>
        <w:t>Key Reminder</w:t>
      </w:r>
    </w:p>
    <w:p>
      <w:r>
        <w:t>The examination is an assessment activity, not a teaching period. Assistance should therefore be limited to legitimate procedural clarification.</w:t>
      </w:r>
    </w:p>
    <w:p>
      <w:r>
        <w:br w:type="page"/>
      </w:r>
    </w:p>
    <w:p>
      <w:pPr>
        <w:pStyle w:val="Heading2"/>
      </w:pPr>
      <w:r>
        <w:t>Lesson Note 2: Marking, Recording and Feedback</w:t>
      </w:r>
    </w:p>
    <w:p>
      <w:r>
        <w:t>Topic: End-of-Term Examination — Marking and Feedback</w:t>
      </w:r>
    </w:p>
    <w:p>
      <w:pPr>
        <w:pStyle w:val="Heading3"/>
      </w:pPr>
      <w:r>
        <w:t>Purpose</w:t>
      </w:r>
    </w:p>
    <w:p>
      <w:r>
        <w:t>Marking determines the extent to which learners demonstrated the knowledge and skills assessed in the examination. Accurate marking and useful feedback help the teacher identify areas for further instruction.</w:t>
      </w:r>
    </w:p>
    <w:p>
      <w:pPr>
        <w:pStyle w:val="Heading3"/>
      </w:pPr>
      <w:r>
        <w:t>Marking Procedure</w:t>
      </w:r>
    </w:p>
    <w:p>
      <w:pPr>
        <w:pStyle w:val="ListNumber"/>
      </w:pPr>
      <w:r>
        <w:t>Use the examination marking scheme or agreed answers consistently.</w:t>
      </w:r>
    </w:p>
    <w:p>
      <w:pPr>
        <w:pStyle w:val="ListNumber"/>
      </w:pPr>
      <w:r>
        <w:t>Read each response carefully before awarding marks.</w:t>
      </w:r>
    </w:p>
    <w:p>
      <w:pPr>
        <w:pStyle w:val="ListNumber"/>
      </w:pPr>
      <w:r>
        <w:t>Award marks according to the stated requirements of each question.</w:t>
      </w:r>
    </w:p>
    <w:p>
      <w:pPr>
        <w:pStyle w:val="ListNumber"/>
      </w:pPr>
      <w:r>
        <w:t>Check calculations and total the marks accurately.</w:t>
      </w:r>
    </w:p>
    <w:p>
      <w:pPr>
        <w:pStyle w:val="ListNumber"/>
      </w:pPr>
      <w:r>
        <w:t>Recheck scripts where an addition or recording error is suspected.</w:t>
      </w:r>
    </w:p>
    <w:p>
      <w:pPr>
        <w:pStyle w:val="ListNumber"/>
      </w:pPr>
      <w:r>
        <w:t>Record the final scores accurately according to the school's assessment procedure.</w:t>
      </w:r>
    </w:p>
    <w:p>
      <w:pPr>
        <w:pStyle w:val="Heading3"/>
      </w:pPr>
      <w:r>
        <w:t>Analysing Performance</w:t>
      </w:r>
    </w:p>
    <w:p>
      <w:r>
        <w:t>After marking, examine the responses to identify topics or question types that many learners found difficult. Examples may include environmental causes and effects, map interpretation, family functions, community-service planning or conflict-management methods. The analysis should be based on the actual examination responses rather than assumptions.</w:t>
      </w:r>
    </w:p>
    <w:p>
      <w:pPr>
        <w:pStyle w:val="Heading3"/>
      </w:pPr>
      <w:r>
        <w:t>Providing Feedback</w:t>
      </w:r>
    </w:p>
    <w:p>
      <w:pPr>
        <w:pStyle w:val="ListBullet"/>
      </w:pPr>
      <w:r>
        <w:t>Discuss common errors with the class and explain the correct ideas.</w:t>
      </w:r>
    </w:p>
    <w:p>
      <w:pPr>
        <w:pStyle w:val="ListBullet"/>
      </w:pPr>
      <w:r>
        <w:t>Highlight areas in which learners demonstrated good understanding.</w:t>
      </w:r>
    </w:p>
    <w:p>
      <w:pPr>
        <w:pStyle w:val="ListBullet"/>
      </w:pPr>
      <w:r>
        <w:t>Give learners opportunities to correct or improve their understanding.</w:t>
      </w:r>
    </w:p>
    <w:p>
      <w:pPr>
        <w:pStyle w:val="ListBullet"/>
      </w:pPr>
      <w:r>
        <w:t>Use respectful language and avoid embarrassing individual learners.</w:t>
      </w:r>
    </w:p>
    <w:p>
      <w:pPr>
        <w:pStyle w:val="ListBullet"/>
      </w:pPr>
      <w:r>
        <w:t>Identify topics that may require reinforcement in future lessons.</w:t>
      </w:r>
    </w:p>
    <w:p>
      <w:pPr>
        <w:pStyle w:val="Heading3"/>
      </w:pPr>
      <w:r>
        <w:t>Learner Reflection</w:t>
      </w:r>
    </w:p>
    <w:p>
      <w:r>
        <w:t>Learners should examine their corrected work, identify questions they missed, understand the correct responses and note topics requiring further revision.</w:t>
      </w:r>
    </w:p>
    <w:p>
      <w:pPr>
        <w:pStyle w:val="Heading3"/>
      </w:pPr>
      <w:r>
        <w:t>Marking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Check</w:t>
            </w:r>
          </w:p>
        </w:tc>
        <w:tc>
          <w:tcPr>
            <w:tcW w:type="dxa" w:w="5112"/>
            <w:shd w:fill="D9E2F3"/>
            <w:vAlign w:val="center"/>
          </w:tcPr>
          <w:p>
            <w:r/>
            <w:r>
              <w:rPr>
                <w:rFonts w:ascii="Aptos" w:hAnsi="Aptos"/>
                <w:b/>
                <w:sz w:val="18"/>
              </w:rPr>
              <w:t>Completed</w:t>
            </w:r>
          </w:p>
        </w:tc>
      </w:tr>
      <w:tr>
        <w:tc>
          <w:tcPr>
            <w:tcW w:type="dxa" w:w="5112"/>
            <w:vAlign w:val="center"/>
          </w:tcPr>
          <w:p>
            <w:r/>
            <w:r>
              <w:rPr>
                <w:rFonts w:ascii="Aptos" w:hAnsi="Aptos"/>
                <w:sz w:val="18"/>
              </w:rPr>
              <w:t>Every response has been considered and marked according to the marking scheme.</w:t>
            </w:r>
          </w:p>
        </w:tc>
        <w:tc>
          <w:tcPr>
            <w:tcW w:type="dxa" w:w="5112"/>
            <w:vAlign w:val="center"/>
          </w:tcPr>
          <w:p>
            <w:r/>
            <w:r>
              <w:rPr>
                <w:rFonts w:ascii="Aptos" w:hAnsi="Aptos"/>
                <w:sz w:val="18"/>
              </w:rPr>
              <w:t>☐</w:t>
            </w:r>
          </w:p>
        </w:tc>
      </w:tr>
      <w:tr>
        <w:tc>
          <w:tcPr>
            <w:tcW w:type="dxa" w:w="5112"/>
            <w:vAlign w:val="center"/>
          </w:tcPr>
          <w:p>
            <w:r/>
            <w:r>
              <w:rPr>
                <w:rFonts w:ascii="Aptos" w:hAnsi="Aptos"/>
                <w:sz w:val="18"/>
              </w:rPr>
              <w:t>Marks awarded are consistent with the question requirements.</w:t>
            </w:r>
          </w:p>
        </w:tc>
        <w:tc>
          <w:tcPr>
            <w:tcW w:type="dxa" w:w="5112"/>
            <w:vAlign w:val="center"/>
          </w:tcPr>
          <w:p>
            <w:r/>
            <w:r>
              <w:rPr>
                <w:rFonts w:ascii="Aptos" w:hAnsi="Aptos"/>
                <w:sz w:val="18"/>
              </w:rPr>
              <w:t>☐</w:t>
            </w:r>
          </w:p>
        </w:tc>
      </w:tr>
      <w:tr>
        <w:tc>
          <w:tcPr>
            <w:tcW w:type="dxa" w:w="5112"/>
            <w:vAlign w:val="center"/>
          </w:tcPr>
          <w:p>
            <w:r/>
            <w:r>
              <w:rPr>
                <w:rFonts w:ascii="Aptos" w:hAnsi="Aptos"/>
                <w:sz w:val="18"/>
              </w:rPr>
              <w:t>Question totals have been calculated correctly.</w:t>
            </w:r>
          </w:p>
        </w:tc>
        <w:tc>
          <w:tcPr>
            <w:tcW w:type="dxa" w:w="5112"/>
            <w:vAlign w:val="center"/>
          </w:tcPr>
          <w:p>
            <w:r/>
            <w:r>
              <w:rPr>
                <w:rFonts w:ascii="Aptos" w:hAnsi="Aptos"/>
                <w:sz w:val="18"/>
              </w:rPr>
              <w:t>☐</w:t>
            </w:r>
          </w:p>
        </w:tc>
      </w:tr>
      <w:tr>
        <w:tc>
          <w:tcPr>
            <w:tcW w:type="dxa" w:w="5112"/>
            <w:vAlign w:val="center"/>
          </w:tcPr>
          <w:p>
            <w:r/>
            <w:r>
              <w:rPr>
                <w:rFonts w:ascii="Aptos" w:hAnsi="Aptos"/>
                <w:sz w:val="18"/>
              </w:rPr>
              <w:t>The overall score has been checked.</w:t>
            </w:r>
          </w:p>
        </w:tc>
        <w:tc>
          <w:tcPr>
            <w:tcW w:type="dxa" w:w="5112"/>
            <w:vAlign w:val="center"/>
          </w:tcPr>
          <w:p>
            <w:r/>
            <w:r>
              <w:rPr>
                <w:rFonts w:ascii="Aptos" w:hAnsi="Aptos"/>
                <w:sz w:val="18"/>
              </w:rPr>
              <w:t>☐</w:t>
            </w:r>
          </w:p>
        </w:tc>
      </w:tr>
      <w:tr>
        <w:tc>
          <w:tcPr>
            <w:tcW w:type="dxa" w:w="5112"/>
            <w:vAlign w:val="center"/>
          </w:tcPr>
          <w:p>
            <w:r/>
            <w:r>
              <w:rPr>
                <w:rFonts w:ascii="Aptos" w:hAnsi="Aptos"/>
                <w:sz w:val="18"/>
              </w:rPr>
              <w:t>Scores have been recorded accurately.</w:t>
            </w:r>
          </w:p>
        </w:tc>
        <w:tc>
          <w:tcPr>
            <w:tcW w:type="dxa" w:w="5112"/>
            <w:vAlign w:val="center"/>
          </w:tcPr>
          <w:p>
            <w:r/>
            <w:r>
              <w:rPr>
                <w:rFonts w:ascii="Aptos" w:hAnsi="Aptos"/>
                <w:sz w:val="18"/>
              </w:rPr>
              <w:t>☐</w:t>
            </w:r>
          </w:p>
        </w:tc>
      </w:tr>
      <w:tr>
        <w:tc>
          <w:tcPr>
            <w:tcW w:type="dxa" w:w="5112"/>
            <w:vAlign w:val="center"/>
          </w:tcPr>
          <w:p>
            <w:r/>
            <w:r>
              <w:rPr>
                <w:rFonts w:ascii="Aptos" w:hAnsi="Aptos"/>
                <w:sz w:val="18"/>
              </w:rPr>
              <w:t>Common learning gaps have been identified.</w:t>
            </w:r>
          </w:p>
        </w:tc>
        <w:tc>
          <w:tcPr>
            <w:tcW w:type="dxa" w:w="5112"/>
            <w:vAlign w:val="center"/>
          </w:tcPr>
          <w:p>
            <w:r/>
            <w:r>
              <w:rPr>
                <w:rFonts w:ascii="Aptos" w:hAnsi="Aptos"/>
                <w:sz w:val="18"/>
              </w:rPr>
              <w:t>☐</w:t>
            </w:r>
          </w:p>
        </w:tc>
      </w:tr>
      <w:tr>
        <w:tc>
          <w:tcPr>
            <w:tcW w:type="dxa" w:w="5112"/>
            <w:vAlign w:val="center"/>
          </w:tcPr>
          <w:p>
            <w:r/>
            <w:r>
              <w:rPr>
                <w:rFonts w:ascii="Aptos" w:hAnsi="Aptos"/>
                <w:sz w:val="18"/>
              </w:rPr>
              <w:t>Feedback is constructive and focused on learning.</w:t>
            </w:r>
          </w:p>
        </w:tc>
        <w:tc>
          <w:tcPr>
            <w:tcW w:type="dxa" w:w="5112"/>
            <w:vAlign w:val="center"/>
          </w:tcPr>
          <w:p>
            <w:r/>
            <w:r>
              <w:rPr>
                <w:rFonts w:ascii="Aptos" w:hAnsi="Aptos"/>
                <w:sz w:val="18"/>
              </w:rPr>
              <w:t>☐</w:t>
            </w:r>
          </w:p>
        </w:tc>
      </w:tr>
    </w:tbl>
    <w:p>
      <w:pPr>
        <w:pStyle w:val="Heading3"/>
      </w:pPr>
      <w:r>
        <w:t>Summary</w:t>
      </w:r>
    </w:p>
    <w:p>
      <w:r>
        <w:t>Effective assessment does not end when the scripts are marked. The teacher uses accurate results and common errors to understand learner progress and plan future teaching and support.</w:t>
      </w:r>
    </w:p>
    <w:p>
      <w:r>
        <w:br w:type="page"/>
      </w:r>
    </w:p>
    <w:p>
      <w:pPr>
        <w:pStyle w:val="Heading1"/>
      </w:pPr>
      <w:r>
        <w:t>END-OF-TERM ASSESSMENT COVERAGE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
              <w:rPr>
                <w:rFonts w:ascii="Aptos" w:hAnsi="Aptos"/>
                <w:b/>
                <w:sz w:val="18"/>
              </w:rPr>
              <w:t>Topic Area</w:t>
            </w:r>
          </w:p>
        </w:tc>
        <w:tc>
          <w:tcPr>
            <w:tcW w:type="dxa" w:w="3408"/>
            <w:shd w:fill="D9E2F3"/>
            <w:vAlign w:val="center"/>
          </w:tcPr>
          <w:p>
            <w:r/>
            <w:r>
              <w:rPr>
                <w:rFonts w:ascii="Aptos" w:hAnsi="Aptos"/>
                <w:b/>
                <w:sz w:val="18"/>
              </w:rPr>
              <w:t>Covered in Term</w:t>
            </w:r>
          </w:p>
        </w:tc>
        <w:tc>
          <w:tcPr>
            <w:tcW w:type="dxa" w:w="3408"/>
            <w:shd w:fill="D9E2F3"/>
            <w:vAlign w:val="center"/>
          </w:tcPr>
          <w:p>
            <w:r/>
            <w:r>
              <w:rPr>
                <w:rFonts w:ascii="Aptos" w:hAnsi="Aptos"/>
                <w:b/>
                <w:sz w:val="18"/>
              </w:rPr>
              <w:t>Revision Completed</w:t>
            </w:r>
          </w:p>
        </w:tc>
      </w:tr>
      <w:tr>
        <w:tc>
          <w:tcPr>
            <w:tcW w:type="dxa" w:w="3408"/>
            <w:vAlign w:val="center"/>
          </w:tcPr>
          <w:p>
            <w:r/>
            <w:r>
              <w:rPr>
                <w:rFonts w:ascii="Aptos" w:hAnsi="Aptos"/>
                <w:sz w:val="18"/>
              </w:rPr>
              <w:t>Environmental Issues</w:t>
            </w:r>
          </w:p>
        </w:tc>
        <w:tc>
          <w:tcPr>
            <w:tcW w:type="dxa" w:w="3408"/>
            <w:vAlign w:val="center"/>
          </w:tcPr>
          <w:p>
            <w:r/>
            <w:r>
              <w:rPr>
                <w:rFonts w:ascii="Aptos" w:hAnsi="Aptos"/>
                <w:sz w:val="18"/>
              </w:rPr>
              <w:t>Weeks 1–3</w:t>
            </w:r>
          </w:p>
        </w:tc>
        <w:tc>
          <w:tcPr>
            <w:tcW w:type="dxa" w:w="3408"/>
            <w:vAlign w:val="center"/>
          </w:tcPr>
          <w:p>
            <w:r/>
            <w:r>
              <w:rPr>
                <w:rFonts w:ascii="Aptos" w:hAnsi="Aptos"/>
                <w:sz w:val="18"/>
              </w:rPr>
              <w:t>Week 14</w:t>
            </w:r>
          </w:p>
        </w:tc>
      </w:tr>
      <w:tr>
        <w:tc>
          <w:tcPr>
            <w:tcW w:type="dxa" w:w="3408"/>
            <w:vAlign w:val="center"/>
          </w:tcPr>
          <w:p>
            <w:r/>
            <w:r>
              <w:rPr>
                <w:rFonts w:ascii="Aptos" w:hAnsi="Aptos"/>
                <w:sz w:val="18"/>
              </w:rPr>
              <w:t>Mapping Skills</w:t>
            </w:r>
          </w:p>
        </w:tc>
        <w:tc>
          <w:tcPr>
            <w:tcW w:type="dxa" w:w="3408"/>
            <w:vAlign w:val="center"/>
          </w:tcPr>
          <w:p>
            <w:r/>
            <w:r>
              <w:rPr>
                <w:rFonts w:ascii="Aptos" w:hAnsi="Aptos"/>
                <w:sz w:val="18"/>
              </w:rPr>
              <w:t>Weeks 4–5</w:t>
            </w:r>
          </w:p>
        </w:tc>
        <w:tc>
          <w:tcPr>
            <w:tcW w:type="dxa" w:w="3408"/>
            <w:vAlign w:val="center"/>
          </w:tcPr>
          <w:p>
            <w:r/>
            <w:r>
              <w:rPr>
                <w:rFonts w:ascii="Aptos" w:hAnsi="Aptos"/>
                <w:sz w:val="18"/>
              </w:rPr>
              <w:t>Week 14</w:t>
            </w:r>
          </w:p>
        </w:tc>
      </w:tr>
      <w:tr>
        <w:tc>
          <w:tcPr>
            <w:tcW w:type="dxa" w:w="3408"/>
            <w:vAlign w:val="center"/>
          </w:tcPr>
          <w:p>
            <w:r/>
            <w:r>
              <w:rPr>
                <w:rFonts w:ascii="Aptos" w:hAnsi="Aptos"/>
                <w:sz w:val="18"/>
              </w:rPr>
              <w:t>Family Life — The Family</w:t>
            </w:r>
          </w:p>
        </w:tc>
        <w:tc>
          <w:tcPr>
            <w:tcW w:type="dxa" w:w="3408"/>
            <w:vAlign w:val="center"/>
          </w:tcPr>
          <w:p>
            <w:r/>
            <w:r>
              <w:rPr>
                <w:rFonts w:ascii="Aptos" w:hAnsi="Aptos"/>
                <w:sz w:val="18"/>
              </w:rPr>
              <w:t>Weeks 6–7 and reviewed Week 13</w:t>
            </w:r>
          </w:p>
        </w:tc>
        <w:tc>
          <w:tcPr>
            <w:tcW w:type="dxa" w:w="3408"/>
            <w:vAlign w:val="center"/>
          </w:tcPr>
          <w:p>
            <w:r/>
            <w:r>
              <w:rPr>
                <w:rFonts w:ascii="Aptos" w:hAnsi="Aptos"/>
                <w:sz w:val="18"/>
              </w:rPr>
              <w:t>Week 14</w:t>
            </w:r>
          </w:p>
        </w:tc>
      </w:tr>
      <w:tr>
        <w:tc>
          <w:tcPr>
            <w:tcW w:type="dxa" w:w="3408"/>
            <w:vAlign w:val="center"/>
          </w:tcPr>
          <w:p>
            <w:r/>
            <w:r>
              <w:rPr>
                <w:rFonts w:ascii="Aptos" w:hAnsi="Aptos"/>
                <w:sz w:val="18"/>
              </w:rPr>
              <w:t>Community Development</w:t>
            </w:r>
          </w:p>
        </w:tc>
        <w:tc>
          <w:tcPr>
            <w:tcW w:type="dxa" w:w="3408"/>
            <w:vAlign w:val="center"/>
          </w:tcPr>
          <w:p>
            <w:r/>
            <w:r>
              <w:rPr>
                <w:rFonts w:ascii="Aptos" w:hAnsi="Aptos"/>
                <w:sz w:val="18"/>
              </w:rPr>
              <w:t>Weeks 8–9</w:t>
            </w:r>
          </w:p>
        </w:tc>
        <w:tc>
          <w:tcPr>
            <w:tcW w:type="dxa" w:w="3408"/>
            <w:vAlign w:val="center"/>
          </w:tcPr>
          <w:p>
            <w:r/>
            <w:r>
              <w:rPr>
                <w:rFonts w:ascii="Aptos" w:hAnsi="Aptos"/>
                <w:sz w:val="18"/>
              </w:rPr>
              <w:t>Week 14</w:t>
            </w:r>
          </w:p>
        </w:tc>
      </w:tr>
      <w:tr>
        <w:tc>
          <w:tcPr>
            <w:tcW w:type="dxa" w:w="3408"/>
            <w:vAlign w:val="center"/>
          </w:tcPr>
          <w:p>
            <w:r/>
            <w:r>
              <w:rPr>
                <w:rFonts w:ascii="Aptos" w:hAnsi="Aptos"/>
                <w:sz w:val="18"/>
              </w:rPr>
              <w:t>Conflict Prevention / Management</w:t>
            </w:r>
          </w:p>
        </w:tc>
        <w:tc>
          <w:tcPr>
            <w:tcW w:type="dxa" w:w="3408"/>
            <w:vAlign w:val="center"/>
          </w:tcPr>
          <w:p>
            <w:r/>
            <w:r>
              <w:rPr>
                <w:rFonts w:ascii="Aptos" w:hAnsi="Aptos"/>
                <w:sz w:val="18"/>
              </w:rPr>
              <w:t>Weeks 10–13</w:t>
            </w:r>
          </w:p>
        </w:tc>
        <w:tc>
          <w:tcPr>
            <w:tcW w:type="dxa" w:w="3408"/>
            <w:vAlign w:val="center"/>
          </w:tcPr>
          <w:p>
            <w:r/>
            <w:r>
              <w:rPr>
                <w:rFonts w:ascii="Aptos" w:hAnsi="Aptos"/>
                <w:sz w:val="18"/>
              </w:rPr>
              <w:t>Week 14</w:t>
            </w:r>
          </w:p>
        </w:tc>
      </w:tr>
      <w:tr>
        <w:tc>
          <w:tcPr>
            <w:tcW w:type="dxa" w:w="3408"/>
            <w:vAlign w:val="center"/>
          </w:tcPr>
          <w:p>
            <w:r/>
            <w:r>
              <w:rPr>
                <w:rFonts w:ascii="Aptos" w:hAnsi="Aptos"/>
                <w:sz w:val="18"/>
              </w:rPr>
              <w:t>End-of-Term Examination</w:t>
            </w:r>
          </w:p>
        </w:tc>
        <w:tc>
          <w:tcPr>
            <w:tcW w:type="dxa" w:w="3408"/>
            <w:vAlign w:val="center"/>
          </w:tcPr>
          <w:p>
            <w:r/>
            <w:r>
              <w:rPr>
                <w:rFonts w:ascii="Aptos" w:hAnsi="Aptos"/>
                <w:sz w:val="18"/>
              </w:rPr>
              <w:t>Week 15</w:t>
            </w:r>
          </w:p>
        </w:tc>
        <w:tc>
          <w:tcPr>
            <w:tcW w:type="dxa" w:w="3408"/>
            <w:vAlign w:val="center"/>
          </w:tcPr>
          <w:p>
            <w:r/>
            <w:r>
              <w:rPr>
                <w:rFonts w:ascii="Aptos" w:hAnsi="Aptos"/>
                <w:sz w:val="18"/>
              </w:rPr>
              <w:t>—</w:t>
            </w:r>
          </w:p>
        </w:tc>
      </w:tr>
    </w:tbl>
    <w:p>
      <w:r>
        <w:t>This coverage check is for planning purposes. The supplied Scheme of Learning states that the Week 15 examination covers all topics covered in the term.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Term One — Week 15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