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TATA iQ GenAI Powered Data Analytics Virtual Internship</w:t>
      </w:r>
    </w:p>
    <w:p>
      <w:pPr>
        <w:pStyle w:val="Heading1"/>
      </w:pPr>
      <w:r>
        <w:t>Task 1: Exploratory Data Analysis (EDA) and Risk Profiling Report</w:t>
      </w:r>
    </w:p>
    <w:p>
      <w:pPr>
        <w:pStyle w:val="Heading1"/>
      </w:pPr>
      <w:r>
        <w:t>1. Introduction</w:t>
      </w:r>
    </w:p>
    <w:p>
      <w:r>
        <w:t>The objective of this analysis was to conduct an Exploratory Data Analysis (EDA) on Geldium Finance's customer dataset to evaluate data quality, identify missing values and anomalies, and uncover key risk factors associated with credit delinquency. The findings from this analysis will support the development of an AI-driven delinquency prediction model and help improve intervention strategies for at-risk customers.</w:t>
      </w:r>
    </w:p>
    <w:p>
      <w:pPr>
        <w:pStyle w:val="Heading1"/>
      </w:pPr>
      <w:r>
        <w:t>2. Dataset Overview</w:t>
      </w:r>
    </w:p>
    <w:p>
      <w:r>
        <w:t>The dataset contains financial, demographic, and behavioral information for customers and is designed to support delinquency risk prediction. The dataset was reviewed to assess its structure, completeness, and suitability for predictive modeling.</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Records</w:t>
            </w:r>
          </w:p>
        </w:tc>
        <w:tc>
          <w:tcPr>
            <w:tcW w:type="dxa" w:w="4320"/>
          </w:tcPr>
          <w:p>
            <w:r>
              <w:t>500</w:t>
            </w:r>
          </w:p>
        </w:tc>
      </w:tr>
      <w:tr>
        <w:tc>
          <w:tcPr>
            <w:tcW w:type="dxa" w:w="4320"/>
          </w:tcPr>
          <w:p>
            <w:r>
              <w:t>Total Variables</w:t>
            </w:r>
          </w:p>
        </w:tc>
        <w:tc>
          <w:tcPr>
            <w:tcW w:type="dxa" w:w="4320"/>
          </w:tcPr>
          <w:p>
            <w:r>
              <w:t>19</w:t>
            </w:r>
          </w:p>
        </w:tc>
      </w:tr>
      <w:tr>
        <w:tc>
          <w:tcPr>
            <w:tcW w:type="dxa" w:w="4320"/>
          </w:tcPr>
          <w:p>
            <w:r>
              <w:t>Numerical Variables</w:t>
            </w:r>
          </w:p>
        </w:tc>
        <w:tc>
          <w:tcPr>
            <w:tcW w:type="dxa" w:w="4320"/>
          </w:tcPr>
          <w:p>
            <w:r>
              <w:t>8</w:t>
            </w:r>
          </w:p>
        </w:tc>
      </w:tr>
      <w:tr>
        <w:tc>
          <w:tcPr>
            <w:tcW w:type="dxa" w:w="4320"/>
          </w:tcPr>
          <w:p>
            <w:r>
              <w:t>Categorical Variables</w:t>
            </w:r>
          </w:p>
        </w:tc>
        <w:tc>
          <w:tcPr>
            <w:tcW w:type="dxa" w:w="4320"/>
          </w:tcPr>
          <w:p>
            <w:r>
              <w:t>10</w:t>
            </w:r>
          </w:p>
        </w:tc>
      </w:tr>
      <w:tr>
        <w:tc>
          <w:tcPr>
            <w:tcW w:type="dxa" w:w="4320"/>
          </w:tcPr>
          <w:p>
            <w:r>
              <w:t>Target Variable</w:t>
            </w:r>
          </w:p>
        </w:tc>
        <w:tc>
          <w:tcPr>
            <w:tcW w:type="dxa" w:w="4320"/>
          </w:tcPr>
          <w:p>
            <w:r>
              <w:t>Delinquent_Account</w:t>
            </w:r>
          </w:p>
        </w:tc>
      </w:tr>
      <w:tr>
        <w:tc>
          <w:tcPr>
            <w:tcW w:type="dxa" w:w="4320"/>
          </w:tcPr>
          <w:p>
            <w:r>
              <w:t>Duplicate Records</w:t>
            </w:r>
          </w:p>
        </w:tc>
        <w:tc>
          <w:tcPr>
            <w:tcW w:type="dxa" w:w="4320"/>
          </w:tcPr>
          <w:p>
            <w:r>
              <w:t>0</w:t>
            </w:r>
          </w:p>
        </w:tc>
      </w:tr>
    </w:tbl>
    <w:p>
      <w:pPr>
        <w:pStyle w:val="Heading2"/>
      </w:pPr>
      <w:r>
        <w:t>Key Variables</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Description</w:t>
            </w:r>
          </w:p>
        </w:tc>
      </w:tr>
      <w:tr>
        <w:tc>
          <w:tcPr>
            <w:tcW w:type="dxa" w:w="4320"/>
          </w:tcPr>
          <w:p>
            <w:r>
              <w:t>Age</w:t>
            </w:r>
          </w:p>
        </w:tc>
        <w:tc>
          <w:tcPr>
            <w:tcW w:type="dxa" w:w="4320"/>
          </w:tcPr>
          <w:p>
            <w:r>
              <w:t>Customer age</w:t>
            </w:r>
          </w:p>
        </w:tc>
      </w:tr>
      <w:tr>
        <w:tc>
          <w:tcPr>
            <w:tcW w:type="dxa" w:w="4320"/>
          </w:tcPr>
          <w:p>
            <w:r>
              <w:t>Income</w:t>
            </w:r>
          </w:p>
        </w:tc>
        <w:tc>
          <w:tcPr>
            <w:tcW w:type="dxa" w:w="4320"/>
          </w:tcPr>
          <w:p>
            <w:r>
              <w:t>Annual income</w:t>
            </w:r>
          </w:p>
        </w:tc>
      </w:tr>
      <w:tr>
        <w:tc>
          <w:tcPr>
            <w:tcW w:type="dxa" w:w="4320"/>
          </w:tcPr>
          <w:p>
            <w:r>
              <w:t>Credit_Score</w:t>
            </w:r>
          </w:p>
        </w:tc>
        <w:tc>
          <w:tcPr>
            <w:tcW w:type="dxa" w:w="4320"/>
          </w:tcPr>
          <w:p>
            <w:r>
              <w:t>Creditworthiness score</w:t>
            </w:r>
          </w:p>
        </w:tc>
      </w:tr>
      <w:tr>
        <w:tc>
          <w:tcPr>
            <w:tcW w:type="dxa" w:w="4320"/>
          </w:tcPr>
          <w:p>
            <w:r>
              <w:t>Credit_Utilization</w:t>
            </w:r>
          </w:p>
        </w:tc>
        <w:tc>
          <w:tcPr>
            <w:tcW w:type="dxa" w:w="4320"/>
          </w:tcPr>
          <w:p>
            <w:r>
              <w:t>Percentage of credit used</w:t>
            </w:r>
          </w:p>
        </w:tc>
      </w:tr>
      <w:tr>
        <w:tc>
          <w:tcPr>
            <w:tcW w:type="dxa" w:w="4320"/>
          </w:tcPr>
          <w:p>
            <w:r>
              <w:t>Missed_Payments</w:t>
            </w:r>
          </w:p>
        </w:tc>
        <w:tc>
          <w:tcPr>
            <w:tcW w:type="dxa" w:w="4320"/>
          </w:tcPr>
          <w:p>
            <w:r>
              <w:t>Number of missed payments</w:t>
            </w:r>
          </w:p>
        </w:tc>
      </w:tr>
      <w:tr>
        <w:tc>
          <w:tcPr>
            <w:tcW w:type="dxa" w:w="4320"/>
          </w:tcPr>
          <w:p>
            <w:r>
              <w:t>Loan_Balance</w:t>
            </w:r>
          </w:p>
        </w:tc>
        <w:tc>
          <w:tcPr>
            <w:tcW w:type="dxa" w:w="4320"/>
          </w:tcPr>
          <w:p>
            <w:r>
              <w:t>Outstanding loan balance</w:t>
            </w:r>
          </w:p>
        </w:tc>
      </w:tr>
      <w:tr>
        <w:tc>
          <w:tcPr>
            <w:tcW w:type="dxa" w:w="4320"/>
          </w:tcPr>
          <w:p>
            <w:r>
              <w:t>Debt_to_Income_Ratio</w:t>
            </w:r>
          </w:p>
        </w:tc>
        <w:tc>
          <w:tcPr>
            <w:tcW w:type="dxa" w:w="4320"/>
          </w:tcPr>
          <w:p>
            <w:r>
              <w:t>Debt burden indicator</w:t>
            </w:r>
          </w:p>
        </w:tc>
      </w:tr>
      <w:tr>
        <w:tc>
          <w:tcPr>
            <w:tcW w:type="dxa" w:w="4320"/>
          </w:tcPr>
          <w:p>
            <w:r>
              <w:t>Employment_Status</w:t>
            </w:r>
          </w:p>
        </w:tc>
        <w:tc>
          <w:tcPr>
            <w:tcW w:type="dxa" w:w="4320"/>
          </w:tcPr>
          <w:p>
            <w:r>
              <w:t>Employment category</w:t>
            </w:r>
          </w:p>
        </w:tc>
      </w:tr>
      <w:tr>
        <w:tc>
          <w:tcPr>
            <w:tcW w:type="dxa" w:w="4320"/>
          </w:tcPr>
          <w:p>
            <w:r>
              <w:t>Account_Tenure</w:t>
            </w:r>
          </w:p>
        </w:tc>
        <w:tc>
          <w:tcPr>
            <w:tcW w:type="dxa" w:w="4320"/>
          </w:tcPr>
          <w:p>
            <w:r>
              <w:t>Customer relationship duration</w:t>
            </w:r>
          </w:p>
        </w:tc>
      </w:tr>
      <w:tr>
        <w:tc>
          <w:tcPr>
            <w:tcW w:type="dxa" w:w="4320"/>
          </w:tcPr>
          <w:p>
            <w:r>
              <w:t>Month_1-Month_6</w:t>
            </w:r>
          </w:p>
        </w:tc>
        <w:tc>
          <w:tcPr>
            <w:tcW w:type="dxa" w:w="4320"/>
          </w:tcPr>
          <w:p>
            <w:r>
              <w:t>Payment history</w:t>
            </w:r>
          </w:p>
        </w:tc>
      </w:tr>
    </w:tbl>
    <w:p>
      <w:pPr>
        <w:pStyle w:val="Heading2"/>
      </w:pPr>
      <w:r>
        <w:t>Initial Observations</w:t>
      </w:r>
    </w:p>
    <w:p>
      <w:pPr>
        <w:pStyle w:val="ListBullet"/>
      </w:pPr>
      <w:r>
        <w:t>The dataset contains 500 customer records.</w:t>
      </w:r>
    </w:p>
    <w:p>
      <w:pPr>
        <w:pStyle w:val="ListBullet"/>
      </w:pPr>
      <w:r>
        <w:t>No duplicate records were identified.</w:t>
      </w:r>
    </w:p>
    <w:p>
      <w:pPr>
        <w:pStyle w:val="ListBullet"/>
      </w:pPr>
      <w:r>
        <w:t>The dataset includes both numerical and categorical variables.</w:t>
      </w:r>
    </w:p>
    <w:p>
      <w:pPr>
        <w:pStyle w:val="ListBullet"/>
      </w:pPr>
      <w:r>
        <w:t>The target variable distribution is imbalanced, with delinquent customers representing approximately 16% of the dataset.</w:t>
      </w:r>
    </w:p>
    <w:p>
      <w:pPr>
        <w:pStyle w:val="Heading1"/>
      </w:pPr>
      <w:r>
        <w:t>3. Missing Data Analysis</w:t>
      </w:r>
    </w:p>
    <w:p>
      <w:r>
        <w:t>Data quality assessment identified missing values in several financial variables.</w:t>
      </w:r>
    </w:p>
    <w:tbl>
      <w:tblPr>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Missing Values</w:t>
            </w:r>
          </w:p>
        </w:tc>
        <w:tc>
          <w:tcPr>
            <w:tcW w:type="dxa" w:w="2880"/>
          </w:tcPr>
          <w:p>
            <w:r>
              <w:t>Percentage</w:t>
            </w:r>
          </w:p>
        </w:tc>
      </w:tr>
      <w:tr>
        <w:tc>
          <w:tcPr>
            <w:tcW w:type="dxa" w:w="2880"/>
          </w:tcPr>
          <w:p>
            <w:r>
              <w:t>Income</w:t>
            </w:r>
          </w:p>
        </w:tc>
        <w:tc>
          <w:tcPr>
            <w:tcW w:type="dxa" w:w="2880"/>
          </w:tcPr>
          <w:p>
            <w:r>
              <w:t>39</w:t>
            </w:r>
          </w:p>
        </w:tc>
        <w:tc>
          <w:tcPr>
            <w:tcW w:type="dxa" w:w="2880"/>
          </w:tcPr>
          <w:p>
            <w:r>
              <w:t>7.8%</w:t>
            </w:r>
          </w:p>
        </w:tc>
      </w:tr>
      <w:tr>
        <w:tc>
          <w:tcPr>
            <w:tcW w:type="dxa" w:w="2880"/>
          </w:tcPr>
          <w:p>
            <w:r>
              <w:t>Loan_Balance</w:t>
            </w:r>
          </w:p>
        </w:tc>
        <w:tc>
          <w:tcPr>
            <w:tcW w:type="dxa" w:w="2880"/>
          </w:tcPr>
          <w:p>
            <w:r>
              <w:t>29</w:t>
            </w:r>
          </w:p>
        </w:tc>
        <w:tc>
          <w:tcPr>
            <w:tcW w:type="dxa" w:w="2880"/>
          </w:tcPr>
          <w:p>
            <w:r>
              <w:t>5.8%</w:t>
            </w:r>
          </w:p>
        </w:tc>
      </w:tr>
      <w:tr>
        <w:tc>
          <w:tcPr>
            <w:tcW w:type="dxa" w:w="2880"/>
          </w:tcPr>
          <w:p>
            <w:r>
              <w:t>Credit_Score</w:t>
            </w:r>
          </w:p>
        </w:tc>
        <w:tc>
          <w:tcPr>
            <w:tcW w:type="dxa" w:w="2880"/>
          </w:tcPr>
          <w:p>
            <w:r>
              <w:t>2</w:t>
            </w:r>
          </w:p>
        </w:tc>
        <w:tc>
          <w:tcPr>
            <w:tcW w:type="dxa" w:w="2880"/>
          </w:tcPr>
          <w:p>
            <w:r>
              <w:t>0.4%</w:t>
            </w:r>
          </w:p>
        </w:tc>
      </w:tr>
    </w:tbl>
    <w:p>
      <w:pPr>
        <w:pStyle w:val="Heading2"/>
      </w:pPr>
      <w:r>
        <w:t>Missing Data Treatment Strategy</w:t>
      </w:r>
    </w:p>
    <w:tbl>
      <w:tblPr>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Method</w:t>
            </w:r>
          </w:p>
        </w:tc>
        <w:tc>
          <w:tcPr>
            <w:tcW w:type="dxa" w:w="2880"/>
          </w:tcPr>
          <w:p>
            <w:r>
              <w:t>Justification</w:t>
            </w:r>
          </w:p>
        </w:tc>
      </w:tr>
      <w:tr>
        <w:tc>
          <w:tcPr>
            <w:tcW w:type="dxa" w:w="2880"/>
          </w:tcPr>
          <w:p>
            <w:r>
              <w:t>Income</w:t>
            </w:r>
          </w:p>
        </w:tc>
        <w:tc>
          <w:tcPr>
            <w:tcW w:type="dxa" w:w="2880"/>
          </w:tcPr>
          <w:p>
            <w:r>
              <w:t>Median Imputation</w:t>
            </w:r>
          </w:p>
        </w:tc>
        <w:tc>
          <w:tcPr>
            <w:tcW w:type="dxa" w:w="2880"/>
          </w:tcPr>
          <w:p>
            <w:r>
              <w:t>Financial data contains outliers</w:t>
            </w:r>
          </w:p>
        </w:tc>
      </w:tr>
      <w:tr>
        <w:tc>
          <w:tcPr>
            <w:tcW w:type="dxa" w:w="2880"/>
          </w:tcPr>
          <w:p>
            <w:r>
              <w:t>Loan_Balance</w:t>
            </w:r>
          </w:p>
        </w:tc>
        <w:tc>
          <w:tcPr>
            <w:tcW w:type="dxa" w:w="2880"/>
          </w:tcPr>
          <w:p>
            <w:r>
              <w:t>Median Imputation</w:t>
            </w:r>
          </w:p>
        </w:tc>
        <w:tc>
          <w:tcPr>
            <w:tcW w:type="dxa" w:w="2880"/>
          </w:tcPr>
          <w:p>
            <w:r>
              <w:t>Skewed financial distribution</w:t>
            </w:r>
          </w:p>
        </w:tc>
      </w:tr>
      <w:tr>
        <w:tc>
          <w:tcPr>
            <w:tcW w:type="dxa" w:w="2880"/>
          </w:tcPr>
          <w:p>
            <w:r>
              <w:t>Credit_Score</w:t>
            </w:r>
          </w:p>
        </w:tc>
        <w:tc>
          <w:tcPr>
            <w:tcW w:type="dxa" w:w="2880"/>
          </w:tcPr>
          <w:p>
            <w:r>
              <w:t>Median Imputation</w:t>
            </w:r>
          </w:p>
        </w:tc>
        <w:tc>
          <w:tcPr>
            <w:tcW w:type="dxa" w:w="2880"/>
          </w:tcPr>
          <w:p>
            <w:r>
              <w:t>Very low missing percentage</w:t>
            </w:r>
          </w:p>
        </w:tc>
      </w:tr>
    </w:tbl>
    <w:p>
      <w:pPr>
        <w:pStyle w:val="ListBullet"/>
      </w:pPr>
      <w:r>
        <w:t>No duplicate records were found.</w:t>
      </w:r>
    </w:p>
    <w:p>
      <w:pPr>
        <w:pStyle w:val="ListBullet"/>
      </w:pPr>
      <w:r>
        <w:t>Missing values were limited to three variables.</w:t>
      </w:r>
    </w:p>
    <w:p>
      <w:pPr>
        <w:pStyle w:val="ListBullet"/>
      </w:pPr>
      <w:r>
        <w:t>No major structural inconsistencies were observed.</w:t>
      </w:r>
    </w:p>
    <w:p>
      <w:pPr>
        <w:pStyle w:val="ListBullet"/>
      </w:pPr>
      <w:r>
        <w:t>The dataset is suitable for predictive analysis after imputation.</w:t>
      </w:r>
    </w:p>
    <w:p>
      <w:pPr>
        <w:pStyle w:val="Heading1"/>
      </w:pPr>
      <w:r>
        <w:t>4. Key Findings and Risk Indicators</w:t>
      </w:r>
    </w:p>
    <w:p>
      <w:r>
        <w:t>The exploratory analysis identified several factors that may contribute to delinquency prediction.</w:t>
      </w:r>
    </w:p>
    <w:p>
      <w:pPr>
        <w:pStyle w:val="Heading2"/>
      </w:pPr>
      <w:r>
        <w:t>Payment History</w:t>
      </w:r>
    </w:p>
    <w:p>
      <w:r>
        <w:t>Historical payment behavior appears to be one of the strongest indicators of future delinquency risk.</w:t>
      </w:r>
    </w:p>
    <w:p>
      <w:pPr>
        <w:pStyle w:val="Heading2"/>
      </w:pPr>
      <w:r>
        <w:t>Credit Utilization</w:t>
      </w:r>
    </w:p>
    <w:p>
      <w:r>
        <w:t>Customers utilizing a high percentage of their available credit may experience financial stress, increasing delinquency risk.</w:t>
      </w:r>
    </w:p>
    <w:p>
      <w:pPr>
        <w:pStyle w:val="Heading2"/>
      </w:pPr>
      <w:r>
        <w:t>Debt-to-Income Ratio</w:t>
      </w:r>
    </w:p>
    <w:p>
      <w:r>
        <w:t>Higher debt obligations relative to income indicate greater repayment burden and potential default risk.</w:t>
      </w:r>
    </w:p>
    <w:p>
      <w:pPr>
        <w:pStyle w:val="Heading2"/>
      </w:pPr>
      <w:r>
        <w:t>Credit Score</w:t>
      </w:r>
    </w:p>
    <w:p>
      <w:r>
        <w:t>Lower credit scores are generally associated with increased delinquency risk.</w:t>
      </w:r>
    </w:p>
    <w:p>
      <w:pPr>
        <w:pStyle w:val="Heading2"/>
      </w:pPr>
      <w:r>
        <w:t>Employment Stability</w:t>
      </w:r>
    </w:p>
    <w:p>
      <w:r>
        <w:t>Customers with unstable employment status may experience greater financial uncertainty and higher repayment risk.</w:t>
      </w:r>
    </w:p>
    <w:p>
      <w:pPr>
        <w:pStyle w:val="Heading2"/>
      </w:pPr>
      <w:r>
        <w:t>Employment Status Analysis</w:t>
      </w:r>
    </w:p>
    <w:tbl>
      <w:tblPr>
        <w:tblW w:type="auto" w:w="0"/>
        <w:tblLook w:firstColumn="1" w:firstRow="1" w:lastColumn="0" w:lastRow="0" w:noHBand="0" w:noVBand="1" w:val="04A0"/>
      </w:tblPr>
      <w:tblGrid>
        <w:gridCol w:w="4320"/>
        <w:gridCol w:w="4320"/>
      </w:tblGrid>
      <w:tr>
        <w:tc>
          <w:tcPr>
            <w:tcW w:type="dxa" w:w="4320"/>
          </w:tcPr>
          <w:p>
            <w:r>
              <w:t>Employment Status</w:t>
            </w:r>
          </w:p>
        </w:tc>
        <w:tc>
          <w:tcPr>
            <w:tcW w:type="dxa" w:w="4320"/>
          </w:tcPr>
          <w:p>
            <w:r>
              <w:t>Delinquency Rate</w:t>
            </w:r>
          </w:p>
        </w:tc>
      </w:tr>
      <w:tr>
        <w:tc>
          <w:tcPr>
            <w:tcW w:type="dxa" w:w="4320"/>
          </w:tcPr>
          <w:p>
            <w:r>
              <w:t>Unemployed</w:t>
            </w:r>
          </w:p>
        </w:tc>
        <w:tc>
          <w:tcPr>
            <w:tcW w:type="dxa" w:w="4320"/>
          </w:tcPr>
          <w:p>
            <w:r>
              <w:t>19.4%</w:t>
            </w:r>
          </w:p>
        </w:tc>
      </w:tr>
      <w:tr>
        <w:tc>
          <w:tcPr>
            <w:tcW w:type="dxa" w:w="4320"/>
          </w:tcPr>
          <w:p>
            <w:r>
              <w:t>Employed</w:t>
            </w:r>
          </w:p>
        </w:tc>
        <w:tc>
          <w:tcPr>
            <w:tcW w:type="dxa" w:w="4320"/>
          </w:tcPr>
          <w:p>
            <w:r>
              <w:t>18.3%</w:t>
            </w:r>
          </w:p>
        </w:tc>
      </w:tr>
      <w:tr>
        <w:tc>
          <w:tcPr>
            <w:tcW w:type="dxa" w:w="4320"/>
          </w:tcPr>
          <w:p>
            <w:r>
              <w:t>Self-Employed</w:t>
            </w:r>
          </w:p>
        </w:tc>
        <w:tc>
          <w:tcPr>
            <w:tcW w:type="dxa" w:w="4320"/>
          </w:tcPr>
          <w:p>
            <w:r>
              <w:t>16.3%</w:t>
            </w:r>
          </w:p>
        </w:tc>
      </w:tr>
      <w:tr>
        <w:tc>
          <w:tcPr>
            <w:tcW w:type="dxa" w:w="4320"/>
          </w:tcPr>
          <w:p>
            <w:r>
              <w:t>EMP</w:t>
            </w:r>
          </w:p>
        </w:tc>
        <w:tc>
          <w:tcPr>
            <w:tcW w:type="dxa" w:w="4320"/>
          </w:tcPr>
          <w:p>
            <w:r>
              <w:t>14.8%</w:t>
            </w:r>
          </w:p>
        </w:tc>
      </w:tr>
      <w:tr>
        <w:tc>
          <w:tcPr>
            <w:tcW w:type="dxa" w:w="4320"/>
          </w:tcPr>
          <w:p>
            <w:r>
              <w:t>Retired</w:t>
            </w:r>
          </w:p>
        </w:tc>
        <w:tc>
          <w:tcPr>
            <w:tcW w:type="dxa" w:w="4320"/>
          </w:tcPr>
          <w:p>
            <w:r>
              <w:t>11.5%</w:t>
            </w:r>
          </w:p>
        </w:tc>
      </w:tr>
    </w:tbl>
    <w:p>
      <w:r>
        <w:t>Unemployed customers exhibited the highest delinquency risk among employment categories.</w:t>
      </w:r>
    </w:p>
    <w:p>
      <w:pPr>
        <w:pStyle w:val="Heading2"/>
      </w:pPr>
      <w:r>
        <w:t>Credit Card Type Analysis</w:t>
      </w:r>
    </w:p>
    <w:tbl>
      <w:tblPr>
        <w:tblW w:type="auto" w:w="0"/>
        <w:tblLook w:firstColumn="1" w:firstRow="1" w:lastColumn="0" w:lastRow="0" w:noHBand="0" w:noVBand="1" w:val="04A0"/>
      </w:tblPr>
      <w:tblGrid>
        <w:gridCol w:w="4320"/>
        <w:gridCol w:w="4320"/>
      </w:tblGrid>
      <w:tr>
        <w:tc>
          <w:tcPr>
            <w:tcW w:type="dxa" w:w="4320"/>
          </w:tcPr>
          <w:p>
            <w:r>
              <w:t>Credit Card Type</w:t>
            </w:r>
          </w:p>
        </w:tc>
        <w:tc>
          <w:tcPr>
            <w:tcW w:type="dxa" w:w="4320"/>
          </w:tcPr>
          <w:p>
            <w:r>
              <w:t>Delinquency Rate</w:t>
            </w:r>
          </w:p>
        </w:tc>
      </w:tr>
      <w:tr>
        <w:tc>
          <w:tcPr>
            <w:tcW w:type="dxa" w:w="4320"/>
          </w:tcPr>
          <w:p>
            <w:r>
              <w:t>Business</w:t>
            </w:r>
          </w:p>
        </w:tc>
        <w:tc>
          <w:tcPr>
            <w:tcW w:type="dxa" w:w="4320"/>
          </w:tcPr>
          <w:p>
            <w:r>
              <w:t>21.3%</w:t>
            </w:r>
          </w:p>
        </w:tc>
      </w:tr>
      <w:tr>
        <w:tc>
          <w:tcPr>
            <w:tcW w:type="dxa" w:w="4320"/>
          </w:tcPr>
          <w:p>
            <w:r>
              <w:t>Student</w:t>
            </w:r>
          </w:p>
        </w:tc>
        <w:tc>
          <w:tcPr>
            <w:tcW w:type="dxa" w:w="4320"/>
          </w:tcPr>
          <w:p>
            <w:r>
              <w:t>17.9%</w:t>
            </w:r>
          </w:p>
        </w:tc>
      </w:tr>
      <w:tr>
        <w:tc>
          <w:tcPr>
            <w:tcW w:type="dxa" w:w="4320"/>
          </w:tcPr>
          <w:p>
            <w:r>
              <w:t>Gold</w:t>
            </w:r>
          </w:p>
        </w:tc>
        <w:tc>
          <w:tcPr>
            <w:tcW w:type="dxa" w:w="4320"/>
          </w:tcPr>
          <w:p>
            <w:r>
              <w:t>14.4%</w:t>
            </w:r>
          </w:p>
        </w:tc>
      </w:tr>
      <w:tr>
        <w:tc>
          <w:tcPr>
            <w:tcW w:type="dxa" w:w="4320"/>
          </w:tcPr>
          <w:p>
            <w:r>
              <w:t>Standard</w:t>
            </w:r>
          </w:p>
        </w:tc>
        <w:tc>
          <w:tcPr>
            <w:tcW w:type="dxa" w:w="4320"/>
          </w:tcPr>
          <w:p>
            <w:r>
              <w:t>12.8%</w:t>
            </w:r>
          </w:p>
        </w:tc>
      </w:tr>
      <w:tr>
        <w:tc>
          <w:tcPr>
            <w:tcW w:type="dxa" w:w="4320"/>
          </w:tcPr>
          <w:p>
            <w:r>
              <w:t>Platinum</w:t>
            </w:r>
          </w:p>
        </w:tc>
        <w:tc>
          <w:tcPr>
            <w:tcW w:type="dxa" w:w="4320"/>
          </w:tcPr>
          <w:p>
            <w:r>
              <w:t>11.8%</w:t>
            </w:r>
          </w:p>
        </w:tc>
      </w:tr>
    </w:tbl>
    <w:p>
      <w:r>
        <w:t>Business credit card holders demonstrated the highest delinquency rates.</w:t>
      </w:r>
    </w:p>
    <w:p>
      <w:pPr>
        <w:pStyle w:val="Heading1"/>
      </w:pPr>
      <w:r>
        <w:t>5. Data Anomalies and Issues</w:t>
      </w:r>
    </w:p>
    <w:p>
      <w:pPr>
        <w:pStyle w:val="ListBullet"/>
      </w:pPr>
      <w:r>
        <w:t>Missing values in financial variables.</w:t>
      </w:r>
    </w:p>
    <w:p>
      <w:pPr>
        <w:pStyle w:val="ListBullet"/>
      </w:pPr>
      <w:r>
        <w:t>Imbalanced target variable distribution (84% non-delinquent vs 16% delinquent).</w:t>
      </w:r>
    </w:p>
    <w:p>
      <w:pPr>
        <w:pStyle w:val="ListBullet"/>
      </w:pPr>
      <w:r>
        <w:t>Inconsistent employment status categories: EMP, Employed, employed, Self-employed, Unemployed, Retired.</w:t>
      </w:r>
    </w:p>
    <w:p>
      <w:r>
        <w:t>Recommended Action: Standardize categorical values and apply appropriate imputation techniques before model development.</w:t>
      </w:r>
    </w:p>
    <w:p>
      <w:pPr>
        <w:pStyle w:val="Heading1"/>
      </w:pPr>
      <w:r>
        <w:t>6. AI and GenAI Usage</w:t>
      </w:r>
    </w:p>
    <w:p>
      <w:pPr>
        <w:pStyle w:val="ListBullet"/>
      </w:pPr>
      <w:r>
        <w:t>Summarizing dataset structure.</w:t>
      </w:r>
    </w:p>
    <w:p>
      <w:pPr>
        <w:pStyle w:val="ListBullet"/>
      </w:pPr>
      <w:r>
        <w:t>Identifying missing values and anomalies.</w:t>
      </w:r>
    </w:p>
    <w:p>
      <w:pPr>
        <w:pStyle w:val="ListBullet"/>
      </w:pPr>
      <w:r>
        <w:t>Suggesting imputation strategies.</w:t>
      </w:r>
    </w:p>
    <w:p>
      <w:pPr>
        <w:pStyle w:val="ListBullet"/>
      </w:pPr>
      <w:r>
        <w:t>Highlighting potential risk indicators.</w:t>
      </w:r>
    </w:p>
    <w:p>
      <w:pPr>
        <w:pStyle w:val="ListBullet"/>
      </w:pPr>
      <w:r>
        <w:t>Assisting with documentation and report preparation.</w:t>
      </w:r>
    </w:p>
    <w:p>
      <w:r>
        <w:t>"Summarize key patterns, missing values, and anomalies in this financial dataset."</w:t>
      </w:r>
    </w:p>
    <w:p>
      <w:r>
        <w:t>"Suggest an appropriate imputation strategy for missing financial variables using industry best practices."</w:t>
      </w:r>
    </w:p>
    <w:p>
      <w:r>
        <w:t>"Identify the top risk indicators that may influence delinquency prediction."</w:t>
      </w:r>
    </w:p>
    <w:p>
      <w:pPr>
        <w:pStyle w:val="Heading1"/>
      </w:pPr>
      <w:r>
        <w:t>7. Conclusion</w:t>
      </w:r>
    </w:p>
    <w:p>
      <w:r>
        <w:t>The exploratory analysis confirmed that the dataset is appropriate for delinquency prediction after standard data cleaning procedures. Several important risk indicators were identified, including payment history, credit utilization, debt-to-income ratio, credit score, and employment status.</w:t>
      </w:r>
    </w:p>
    <w:p>
      <w:r>
        <w:t>The analysis also highlighted the importance of addressing missing values and standardizing categorical variables before predictive modeling.</w:t>
      </w:r>
    </w:p>
    <w:p>
      <w:pPr>
        <w:pStyle w:val="Heading1"/>
      </w:pPr>
      <w:r>
        <w:t>8. Recommendations and Next Steps</w:t>
      </w:r>
    </w:p>
    <w:p>
      <w:pPr>
        <w:pStyle w:val="Heading2"/>
      </w:pPr>
      <w:r>
        <w:t>Data Preparation</w:t>
      </w:r>
    </w:p>
    <w:p>
      <w:pPr>
        <w:pStyle w:val="ListBullet"/>
      </w:pPr>
      <w:r>
        <w:t>Perform median imputation for missing financial variables.</w:t>
      </w:r>
    </w:p>
    <w:p>
      <w:pPr>
        <w:pStyle w:val="ListBullet"/>
      </w:pPr>
      <w:r>
        <w:t>Standardize employment status categories.</w:t>
      </w:r>
    </w:p>
    <w:p>
      <w:pPr>
        <w:pStyle w:val="ListBullet"/>
      </w:pPr>
      <w:r>
        <w:t>Address target variable imbalance during model training.</w:t>
      </w:r>
    </w:p>
    <w:p>
      <w:pPr>
        <w:pStyle w:val="Heading2"/>
      </w:pPr>
      <w:r>
        <w:t>Feature Engineering</w:t>
      </w:r>
    </w:p>
    <w:p>
      <w:pPr>
        <w:pStyle w:val="ListBullet"/>
      </w:pPr>
      <w:r>
        <w:t>Create payment behavior scores.</w:t>
      </w:r>
    </w:p>
    <w:p>
      <w:pPr>
        <w:pStyle w:val="ListBullet"/>
      </w:pPr>
      <w:r>
        <w:t>Develop credit risk indicators.</w:t>
      </w:r>
    </w:p>
    <w:p>
      <w:pPr>
        <w:pStyle w:val="ListBullet"/>
      </w:pPr>
      <w:r>
        <w:t>Engineer customer stability metrics.</w:t>
      </w:r>
    </w:p>
    <w:p>
      <w:pPr>
        <w:pStyle w:val="Heading2"/>
      </w:pPr>
      <w:r>
        <w:t>Predictive Modeling</w:t>
      </w:r>
    </w:p>
    <w:p>
      <w:pPr>
        <w:pStyle w:val="ListBullet"/>
      </w:pPr>
      <w:r>
        <w:t>Develop AI-based delinquency prediction models.</w:t>
      </w:r>
    </w:p>
    <w:p>
      <w:pPr>
        <w:pStyle w:val="ListBullet"/>
      </w:pPr>
      <w:r>
        <w:t>Evaluate feature importance.</w:t>
      </w:r>
    </w:p>
    <w:p>
      <w:pPr>
        <w:pStyle w:val="ListBullet"/>
      </w:pPr>
      <w:r>
        <w:t>Implement explainable AI techniques.</w:t>
      </w:r>
    </w:p>
    <w:p>
      <w:pPr>
        <w:pStyle w:val="Heading2"/>
      </w:pPr>
      <w:r>
        <w:t>Ethical Considerations</w:t>
      </w:r>
    </w:p>
    <w:p>
      <w:pPr>
        <w:pStyle w:val="ListBullet"/>
      </w:pPr>
      <w:r>
        <w:t>Ensure fairness and transparency in predictions.</w:t>
      </w:r>
    </w:p>
    <w:p>
      <w:pPr>
        <w:pStyle w:val="ListBullet"/>
      </w:pPr>
      <w:r>
        <w:t>Monitor potential bias in demographic variables.</w:t>
      </w:r>
    </w:p>
    <w:p>
      <w:pPr>
        <w:pStyle w:val="ListBullet"/>
      </w:pPr>
      <w:r>
        <w:t>Validate model outputs using domain expertise.</w:t>
      </w:r>
    </w:p>
    <w:p>
      <w:pPr>
        <w:pStyle w:val="Heading1"/>
      </w:pPr>
      <w:r>
        <w:t>Executive Summary</w:t>
      </w:r>
    </w:p>
    <w:p>
      <w:r>
        <w:t>The EDA identified payment history, credit utilization, debt-to-income ratio, credit score, and employment status as the most important indicators of delinquency risk. Missing data was limited and manageable using median imputation. The dataset is suitable for predictive modeling following standard data cleaning and preprocessing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