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河北省2025年政府工作报告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从“京津冀协同、雄安新区、钢铁与低碳、产业疏解承接与人口外流”重新理解河北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研究对象：2025年河北省政府工作报告及同期财政、国民经济和社会发展统计资料、2026年官方复盘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二、先看河北的特殊底盘：京津冀协同、雄安新区、钢铁与绿色、产业疏解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三、最关键的宏观错位：GDP破4.93万亿、增速全国第3，但人口外流/地产弱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十二、区域一体化：河北在“京津冀协同+雄安+沿海/临港”里的位置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十四、最终结论：河北在“京津冀协同+钢铁低碳+雄安+产业升级”里的增长逻辑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河北最显眼的是“GDP破4.93万亿、增长5.6%（全国第3）”、“规上工业+7.9%（全国第6）”、“社零+5.6%（全国第2）”和“雄安新区拔节生长”。但这份研究真正值得深读的，是这座“京津冀协同+雄安+钢铁/绿色低碳+产业承接”的京畿大省，如何在人口自然增长率为负（-3.59‰）与产业转型的背景下，靠“新能源/电子信息制造+承接京津疏解+绿色低碳”撑起高于全国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把2025年初设定的目标（GDP增长5%以上）、2025年《国民经济和社会发展统计公报》、以及2026年报告对2025年的复盘放在一起看，河北呈现清晰暗线：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从“钢铁/资源/重工业”的旧底盘，向“新能源汽车/电子信息/高端装备+绿色低碳+京津冀协同/雄安”转型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。旧引擎（粗钢/生铁/传统重工业）在调整；新引擎（新能源、电子、装备、算力、绿色能源、承接疏解）被要求更快补位。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因此，本报告不按政府工作报告逐段复述，而采用“显性表述—同期数据—制度含义—长期影响”的方式，专门提取容易被忽视、但对判断河北未来5—10年发展模式更有价值的信号。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河北是“京津冀协同+雄安新区+钢铁/绿色低碳+产业承接”的京畿样本，靠“绿色转型+承接京津+新型工业”撑起全国领先增长。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观察河北，与其看“GDP 4.93万亿”，不如看“雄安新区、京津冀协同、钢铁低碳、新能源汽车、绿色能源占比73.4%”这几张名片。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一页速览：2025年河北经济的“表与里”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49305.2亿、+5.6%（全国第3）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一产9.2%、二产35.7%、三产55.1%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规上工业+7.9%（全国第6）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新能源+13.4%、电子信息+11.6%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进出口6761.9亿、+10.0%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进口+16.8%、一带一路占比64.2%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固定资产投资+6.1%（全国第3）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工业+15.5%、民间+8.6%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一般公共预算收入4398.6亿、+2.0%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税收+3.4%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社零15483.2亿、+5.6%（全国第2）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城镇+6.0%、乡村+3.6%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常住7354万、-24万、城镇化64.54%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自然增-3.59‰、净流入3万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京津冀协同/雄安新区/沿海港口14.5亿吨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承接疏解/临港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：2025年1月13日在省十四届人大三次会议上作，给出全年预期目标（GDP增长5%以上、一般公共预算收入增长2%左右、规上工业5.5%左右、固投5.5%左右、社零5%左右）。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：河北省统计局2026年4月13日发布，给出全年实际执行数与增速，是“事后验证”的锚点。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2026年河北省政府工作报告及官方复盘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例如2025年GDP目标5%以上、实际5.6%达标；规上工业目标5.5%左右、实际7.9%超预期；固投目标5.5%左右、实际6.1%达标；社零目标5%左右、实际5.6%达标。整体完成情况好，是“十四五”收官年。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本报告统一以“2025年统计公报+2026年报告复盘”为口径，增速均为可比价，绝对数为人民币。GDP以第五次全国经济普查修订后为准，2025年49305.2亿元。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二、先看河北的特殊底盘：京津冀协同、雄安新区、钢铁与绿色、产业疏解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河北的地盘，取决于它作为“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京畿重地+京津冀协同主阵地+雄安新区+钢铁大省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”的特殊定位。它面临三重身份：一是服务北京非首都功能疏解，二是承接京津产业转移，三是传统重工业（钢铁）绿色转型。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京津冀协同/雄安</w:t>
      </w:r>
      <w:r>
        <w:rPr>
          <w:rFonts w:ascii="微软雅黑" w:hAnsi="微软雅黑" w:eastAsia="微软雅黑"/>
          <w:b w:val="0"/>
          <w:color w:val="1F2A44"/>
          <w:sz w:val="21"/>
        </w:rPr>
        <w:t>：雄安新区“拔节生长”，中国星网、中国中化、中国华能等总部迁驻运营，“四纵三横”高速网、5300多栋楼宇；京津冀“六链五群”产业协作，引进央企二、三级子公司超800家；“河北净菜”“河北福嫂”进京入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钢铁与低碳</w:t>
      </w:r>
      <w:r>
        <w:rPr>
          <w:rFonts w:ascii="微软雅黑" w:hAnsi="微软雅黑" w:eastAsia="微软雅黑"/>
          <w:b w:val="0"/>
          <w:color w:val="1F2A44"/>
          <w:sz w:val="21"/>
        </w:rPr>
        <w:t>：2025年粗钢19061.1万吨（-4.6%）、生铁17703.1万吨（-8.8%），但钢材+7.8%、黑色金属冶炼增加值+9.6%；钢铁产品由“原料级”向“材料级”转变；钢铁行业国家级绿色工厂、环保绩效A级企业数量全国第一；可再生能源占电力装机比重由47.6%提升至73.4%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产业疏解承接</w:t>
      </w:r>
      <w:r>
        <w:rPr>
          <w:rFonts w:ascii="微软雅黑" w:hAnsi="微软雅黑" w:eastAsia="微软雅黑"/>
          <w:b w:val="0"/>
          <w:color w:val="1F2A44"/>
          <w:sz w:val="21"/>
        </w:rPr>
        <w:t>：承接京津项目落地“牛鼻子”，曹妃甸区、渤海新区、北戴河生命健康产业创新示范区等承接平台壮大；空天信息和卫星互联网等创新产业在雄安集聚。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沿海/临港</w:t>
      </w:r>
      <w:r>
        <w:rPr>
          <w:rFonts w:ascii="微软雅黑" w:hAnsi="微软雅黑" w:eastAsia="微软雅黑"/>
          <w:b w:val="0"/>
          <w:color w:val="1F2A44"/>
          <w:sz w:val="21"/>
        </w:rPr>
        <w:t>：沿海港口货物吞吐量14.5亿吨（+3.1%）、唐山港居世界第二；高速公路总里程9000公里，港口通过能力破12亿吨。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：河北既是服务首都的“疏解承载地”，也是自身转型升级的“绿色低碳样本”。它不靠总量冒进，而靠“京津冀协同+雄安+绿色转型+沿海开放”多重战略叠加。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三、最关键的宏观错位：GDP破4.93万亿、增速全国第3，但人口外流/地产弱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2025年河北GDP 49305.2亿元、+5.6%（一产+3.4%、二产+5.4%、三产+6.1%），增速全国第3。表面看“逆势强增长”，但拆开看是“</w:t>
      </w:r>
      <w:r>
        <w:rPr>
          <w:rFonts w:ascii="微软雅黑" w:hAnsi="微软雅黑" w:eastAsia="微软雅黑"/>
          <w:b/>
          <w:color w:val="1F2A44"/>
          <w:sz w:val="22"/>
        </w:rPr>
        <w:t>产业/投资强、人口/地产/结构弱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：规上工业+7.9%（新能源+13.4%、电子信息+11.6%、高端装备+10.9%、先进钢铁+9.6%）；固投+6.1%（工业+15.5%、基建+10.9%、民间+8.6%）；社零+5.6%（城镇+6.0%）；进出口+10.0%（进口+16.8%）。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：常住人口7354万、-24万（自然增-3.59‰）；房地产开发投资-0.1%；粗钢-4.6%、生铁-8.8%；集成电路-37.6%；新能源汽车产量-3.8%。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：河北“产业升级/投资/工业强（新能源+13.4%、电子+11.6%），但人口持续净流出、地产弱、传统钢铁减产”。2026年“稳人口/消费、扩工业/投资、绿色转型”是重点。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-24万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-3.59‰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粗钢产量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民营经济(占GDP)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65.6%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集成电路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-35.6%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河北的增长“很强、但也很矛盾”。强的部分（工业/投资/绿色/承接）与弱的部分（人口/地产/钢铁减量）并存。2025年民营经济占GDP 65.6%是重要底盘。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49305.2亿、+5.6%（全国第3）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规上工业+7.9%（全国第6）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新能源+13.4%、电子信息+11.6%、高端装备+9.6%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黑色金属冶炼+9.6%、但粗钢-4.6%/生铁-8.8%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汽车产量96.9万辆+2.0%、新能源车-3.8%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锂电+35.2%、太阳能电池+30.6%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固投+6.1%（工业+15.5%、民间+8.6%）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进出口6761.9亿、+10.0%（进口+16.8%）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民营经济增加值占GDP 65.6%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雄安新区总部迁驻/承接京津疏解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绿色能源占电力装机73.4%（新能源车产量5年增5.1倍）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常住7354万、-24万、城镇化率64.54%（+1.12pct）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居民收入36439元、+5.1%（农村+5.9%）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PM2.5平均33.6微克/立方米（-10.9%）、优良天数284天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CPI+0.1%（2025年）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河北尤其鲜明：增长靠工业/投资/绿色/承接京津，但人口外流/地产弱。2026年若人口/消费/地产修复，增长可能从“产业单极”走向“产业+人口/内需”多极。这条细节，正是河北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+7.9%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控制在5.5%左右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目标“稳中求进”，而实际“全面超预期”：GDP 5.6%、规上工业7.9%、社零5.6%、投资6.1%均超目标。作为“十四五”收官年，河北主要经济指标增速高于全国平均，是少有的“目标-实际”成功样本。人口净流出、地产偏弱是结构隐忧。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GDP+5.6%背后，是“</w:t>
      </w:r>
      <w:r>
        <w:rPr>
          <w:rFonts w:ascii="微软雅黑" w:hAnsi="微软雅黑" w:eastAsia="微软雅黑"/>
          <w:b/>
          <w:color w:val="1F2A44"/>
          <w:sz w:val="22"/>
        </w:rPr>
        <w:t>产业升级/投资/绿色/承接强、人口/地产弱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新能源+13.4%、电子+11.6%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工业+15.5%、民间+8.6%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社零消费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城镇+6.0%、乡村+3.6%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进口+16.8%、一带一路64.2%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京津冀协同/雄安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承接疏解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央企800+家、雄安总部迁驻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绿色/新能源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装机占73.4%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风电光伏、新能源车5年5.1倍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房地产业/地产开发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-3.59‰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人口/内需约束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粗钢/生铁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-4.6%/-8.8%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钢铁减量/转型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物价温和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增长靠“工业+投资+消费+出口”全面支撑，且绿色/承接/京津冀提供了额外动能。人口/地产是2026年最大的结构调整空间。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2025年河北一般公共预算收入</w:t>
      </w:r>
      <w:r>
        <w:rPr>
          <w:rFonts w:ascii="微软雅黑" w:hAnsi="微软雅黑" w:eastAsia="微软雅黑"/>
          <w:b/>
          <w:color w:val="1F2A44"/>
          <w:sz w:val="22"/>
        </w:rPr>
        <w:t>4398.6亿元、+2.0%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</w:t>
      </w:r>
      <w:r>
        <w:rPr>
          <w:rFonts w:ascii="微软雅黑" w:hAnsi="微软雅黑" w:eastAsia="微软雅黑"/>
          <w:b/>
          <w:color w:val="1F2A44"/>
          <w:sz w:val="22"/>
        </w:rPr>
        <w:t>+3.4%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财政收入+2.0%、税收+3.4%，质量稳定。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财政“稳收+民生（占比80%以上）+绿色/承接支出优先”。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“两重”“两新”政策加力，抓投资上项目扩消费。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2025年河北常住人口</w:t>
      </w:r>
      <w:r>
        <w:rPr>
          <w:rFonts w:ascii="微软雅黑" w:hAnsi="微软雅黑" w:eastAsia="微软雅黑"/>
          <w:b/>
          <w:color w:val="1F2A44"/>
          <w:sz w:val="22"/>
        </w:rPr>
        <w:t>7354万人、-24万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64.54%、+1.12pct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</w:t>
      </w:r>
      <w:r>
        <w:rPr>
          <w:rFonts w:ascii="微软雅黑" w:hAnsi="微软雅黑" w:eastAsia="微软雅黑"/>
          <w:b/>
          <w:color w:val="1F2A44"/>
          <w:sz w:val="22"/>
        </w:rPr>
        <w:t>-3.59‰</w:t>
      </w:r>
      <w:r>
        <w:rPr>
          <w:rFonts w:ascii="微软雅黑" w:hAnsi="微软雅黑" w:eastAsia="微软雅黑"/>
          <w:b w:val="0"/>
          <w:color w:val="1F2A44"/>
          <w:sz w:val="22"/>
        </w:rPr>
        <w:t>（出生率4.89‰、死亡率8.48‰）。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36439元、+5.1%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，农村（+5.9%）快于城镇（+4.2%），城乡比2.04。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7354万/-24万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人口净流出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-3.59‰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64.54%/+1.12pct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36439元/+5.1%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收入增速高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：收入增速高于全国、农村快于城镇，但人口持续净流出（-24万）是重要约束。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河北城镇化率64.54%、+1.12pct，城乡收入比2.04（缩小0.03），城乡相对协调。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农村居民收入+5.9%、快于城镇+5.2%（城乡比缩小）。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城镇社零+6.0%、乡村+3.6%，城镇消费引领。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石家庄都市圈、各设区市（所有设区市与省会高铁通联）协同。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河北2025年常住7354万人、-24万，人口净流出仍存（净流入仅3万、不足以抵消自然负增）。流出主要方向：京津（虹吸效应）。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未来看点：京津冀协同+雄安能否承接人口/人才回流；若“雄安+绿色转型+承接疏解”成势，河北有望从“人口净流出”走向“人口/就业托底”。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2025年河北CPI</w:t>
      </w:r>
      <w:r>
        <w:rPr>
          <w:rFonts w:ascii="微软雅黑" w:hAnsi="微软雅黑" w:eastAsia="微软雅黑"/>
          <w:b/>
          <w:color w:val="1F2A44"/>
          <w:sz w:val="22"/>
        </w:rPr>
        <w:t>+0.1%</w:t>
      </w:r>
      <w:r>
        <w:rPr>
          <w:rFonts w:ascii="微软雅黑" w:hAnsi="微软雅黑" w:eastAsia="微软雅黑"/>
          <w:b w:val="0"/>
          <w:color w:val="1F2A44"/>
          <w:sz w:val="22"/>
        </w:rPr>
        <w:t>、PPI（全国测算）偏弱，物价整体温和、工业品价格承压。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物价温和反映“供需基本平衡”，与全国低通胀环境一致。2026年“扩内需、稳物价”是主线。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十二、区域一体化：河北在“京津冀协同+雄安+沿海/临港”里的位置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河北的核心战略坐标是“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京津冀协同发展+雄安新区+沿海/临港经济</w:t>
      </w:r>
      <w:r>
        <w:rPr>
          <w:rFonts w:ascii="微软雅黑" w:hAnsi="微软雅黑" w:eastAsia="微软雅黑"/>
          <w:b w:val="0"/>
          <w:color w:val="1F2A44"/>
          <w:sz w:val="22"/>
        </w:rPr>
        <w:t>”，是服务北京、承接疏解、绿色转型的主阵地。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雄安新区：中国星网/中化/华能总部迁驻，未来之城。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京津冀协同：所有设区市与省会高铁通联，优良天数近80%。“六链五群”产业协作。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沿海/临港：唐山港吞吐量居世界第二，黄骅港大港建设。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生态支撑区：承接京津冀生态环境联建，最美廊道。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若“京津冀协同+雄安+沿海+绿色”闭环跑通，河北将作为京畿重地实现更高能级的区域一体化。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京津冀协同/雄安新区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雄安、疏解承接能否持续升级。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钢铁低碳/绿色转型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钢铁“量减质升”、绿色能源能否壮大。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新能源汽车/电子信息/装备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新能源/电子/高端装备能否持续提升。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人口/就业/内需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人口净流出能否被承接/产业回流打断。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沿海/临港/对外开放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临港产业、外贸/进口能否壮大。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十四、最终结论：河北在“京津冀协同+钢铁低碳+雄安+产业升级”里的增长逻辑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河北的2025年，本质上是“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产业升级/投资/出口/京津冀/绿色为核心，而人口净流出/地产弱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”的答卷：GDP49305.2亿、+5.6%（全国第3），规上工业+7.9%、社零+5.6%、进出口+10.0%，但常住-24万、地产投资-0.1%、粗钢-4.6%。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只要京津冀协同、雄安、绿色转型、产学研承接持续，河北就站在“京畿增长极”的位；如果人口持续外流、地产/内需偏弱、传统钢铁过度减产，河北需承受“强产业、弱人口/需求”的结构挑战。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一盯雄安/京津冀协同（国家战略）、二盯绿色/钢铁（转型）、三盯新产业（汽车/电子/装备）、四盯人口/内需（约束）、五盯出口/沿海/开放（外贸）。</w:t>
      </w:r>
      <w:r>
        <w:rPr>
          <w:rFonts w:ascii="微软雅黑" w:hAnsi="微软雅黑" w:eastAsia="微软雅黑"/>
          <w:b w:val="0"/>
          <w:color w:val="1F2A44"/>
          <w:sz w:val="22"/>
        </w:rPr>
        <w:t>河北，是“京津冀+钢铁绿色+雄安”的新样本。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河北省2025年《政府工作报告》——目标来源。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《2025年河北省国民经济和社会发展统计公报》（省统计局）——GDP、工业、外贸、人口实值。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2026年河北省政府工作报告——2025执行复盘+京津冀/雄安/绿色。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石家庄海关、省财政厅——外贸/财政。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本报告所有增速、总量、占比均以统计公报/官方口径为基准，涉“京津冀协同/雄安/钢铁/绿色能源”等以官方口径为准。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+10.0%/+5.5%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+6.1%/-0.1%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7354万/-3.59‰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绿色能源占电力装机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绿色转型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物价平稳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把这10个指标连起来看，任何一个“雄安/协同（国家战略）、工业、汽车/电子（3）向上、人口/地产（7）修复”，都说明河北在真正换挡。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