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选题：为什么“同一块砧板两面用”不等于真正分开　·　食事卷 · 母题02-10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02-10-1</w:t>
      </w:r>
    </w:p>
    <w:p>
      <w:r>
        <w:rPr>
          <w:b/>
        </w:rPr>
        <w:t>选题：</w:t>
      </w:r>
      <w:r>
        <w:t>为什么“同一块砧板两面用”不等于真正分开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生熟分开（02-10）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搞清「生熟分开」上真正影响结果的变量，并得到一条能照做的家庭方法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为什么“同一块砧板两面用”不等于真正分开」，给出一个普通家庭能照做的一句判断/结论；判断建立在母题变量（砧板、刀、手、容器的接触链、“两面砧板”不等于自动安全、熟食入口前不再经过生食路径、小厨房用颜色/区域最小化实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反常识：沿用「为什么“同一块砧板两面用”不等于真正分开」做一句与直觉相反的开场。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旁白只讲因果，不描述画面。骨架：先抛出「为什么“同一块砧板两面用”不等于真正分开」的判断，再讲机制/变量，最后落到一句家庭方法。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把“生熟分开”拆成“对象—环境—动作—时间—维护”五个变量，找出其中最容易被忽略的一个。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引入「为什么“同一块砧板两面用”不等于真正分开」主视觉事件；3—7s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引入「为什么“同一块砧板两面用”不等于真正分开」主视觉事件；3—7s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引入「为什么“同一块砧板两面用”不等于真正分开」主视觉事件；3—7s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为什么“同一块砧板两面用”不等于真正分开？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「生熟分开」核心对象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生熟分开：为什么“同一块砧板两面用”不等于真正分开（给家里转一份可照做的）</w:t>
      </w:r>
    </w:p>
    <w:p>
      <w:r>
        <w:rPr>
          <w:b/>
        </w:rPr>
        <w:t>抖音：</w:t>
      </w:r>
      <w:r>
        <w:t>为什么“同一块砧板两面用”不等于真正分开？先讲真相再给方法</w:t>
      </w:r>
    </w:p>
    <w:p>
      <w:r>
        <w:rPr>
          <w:b/>
        </w:rPr>
        <w:t>小红书：</w:t>
      </w:r>
      <w:r>
        <w:t>生熟分开｜为什么“同一块砧板两面用”不等于真正分开（收藏复查）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