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保定市2025年政府工作报告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从“京津冀协同、装备制造、汽车零部件、白洋淀与雄安协同”重新理解保定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研究对象：2025年保定市政府工作报告及同期财政、国民经济和社会发展统计资料、2026年官方复盘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二、先看保定的特殊底盘：京津冀协同、装备制造、汽车（长城）与白洋淀生态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三、最关键的宏观错位：GDP破5000亿达标、制造强，但固投大降、人口自然负增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十二、区域一体化：保定在“京津冀协同+雄安新区+保定都市圈”里的位置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十四、最终结论：保定在“装备+汽车+京津冀协同”里的增长逻辑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2025年保定最显著的是“GDP 5002.5亿元（含定州）、增长6.0%（达标6%目标）、三产占55.4%”、“规上工业+9.4%（装备+13.6%、汽车+13.8%）”、“进出口848.1亿/+6.8%”、“常住人口900.07万/城镇化62.27%”。这说明保定在“京津冀协同+装备制造”下高速增长，但</w:t>
      </w:r>
      <w:r>
        <w:rPr>
          <w:rFonts w:ascii="微软雅黑" w:hAnsi="微软雅黑" w:eastAsia="微软雅黑"/>
          <w:b/>
          <w:color w:val="1F2A44"/>
          <w:sz w:val="22"/>
        </w:rPr>
        <w:t>固投-25.2%、人口自然-3.92‰</w:t>
      </w:r>
      <w:r>
        <w:rPr>
          <w:rFonts w:ascii="微软雅黑" w:hAnsi="微软雅黑" w:eastAsia="微软雅黑"/>
          <w:b w:val="0"/>
          <w:color w:val="1F2A44"/>
          <w:sz w:val="22"/>
        </w:rPr>
        <w:t>是短板。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把2025年目标（GDP+6%、规上+7%、固投+7.5%、社零+6%）、2025年统计（GDP+6%达标、规上+9.4%超、固投-25.2%大幅未达）一起看，保定是“京津冀+制造强市”路径：</w:t>
      </w:r>
      <w:r>
        <w:rPr>
          <w:rFonts w:ascii="微软雅黑" w:hAnsi="微软雅黑" w:eastAsia="微软雅黑"/>
          <w:b/>
          <w:color w:val="1F2A44"/>
          <w:sz w:val="22"/>
        </w:rPr>
        <w:t>装备制造（占规上43%）、汽车（长城）、光伏、白洋淀+雄安协同</w:t>
      </w:r>
      <w:r>
        <w:rPr>
          <w:rFonts w:ascii="微软雅黑" w:hAnsi="微软雅黑" w:eastAsia="微软雅黑"/>
          <w:b w:val="0"/>
          <w:color w:val="1F2A44"/>
          <w:sz w:val="22"/>
        </w:rPr>
        <w:t>是引擎。GDP含定州破5000亿。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保定是“京津冀协同+装备制造/汽车之城”的河北地级大市，靠“装备、汽车（长城）、光伏新能源、白洋淀生态、雄安协同”增长。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观察保定，与其只看“GDP 5002亿”，不如看“规上工业+9.4%、装备制造+13.6%占43%、汽车+13.8%、新能源汽车17万辆、出口+7.1%”。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本报告以“保定市政府工作报告（2025年，闫继红作）”为起点，把“2025年GDP目标（6%左右）”与“2025年国民经济和社会发展统计公报实际值（含定州5002.5亿/+6.0%）”并置对照，并用官方复盘作验证。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注：保定统计含“定州”与“不含定州”两套口径，本报告主口径为含定州（与考核一致），文中标注。一般公共预算收入为地方级。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统一采用“同比增长%”（GDP为不变价），居民收入按原口径转录。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二、先看保定的特殊底盘：京津冀协同、装备制造、汽车（长城）与白洋淀生态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区位与身份</w:t>
      </w:r>
      <w:r>
        <w:rPr>
          <w:rFonts w:ascii="微软雅黑" w:hAnsi="微软雅黑" w:eastAsia="微软雅黑"/>
          <w:b w:val="0"/>
          <w:color w:val="1F2A44"/>
          <w:sz w:val="22"/>
        </w:rPr>
        <w:t>：保定是河北省地级市、京津冀协同核心，毗邻雄安新区（2017年设），“雄保协同”、白洋淀所在；河北人口/制造大市。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产业底盘</w:t>
      </w:r>
      <w:r>
        <w:rPr>
          <w:rFonts w:ascii="微软雅黑" w:hAnsi="微软雅黑" w:eastAsia="微软雅黑"/>
          <w:b w:val="0"/>
          <w:color w:val="1F2A44"/>
          <w:sz w:val="22"/>
        </w:rPr>
        <w:t>：一是装备制造（占规上43%、电力/新能源高端装备）；二是汽车（长城汽车，2025年新能源汽车17万辆/海外销量45万辆）；三是光伏/新能源（太阳能电池+20.3%）；四是京津冀协同产业（疏解/协作）。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人口底盘</w:t>
      </w:r>
      <w:r>
        <w:rPr>
          <w:rFonts w:ascii="微软雅黑" w:hAnsi="微软雅黑" w:eastAsia="微软雅黑"/>
          <w:b w:val="0"/>
          <w:color w:val="1F2A44"/>
          <w:sz w:val="22"/>
        </w:rPr>
        <w:t>：2025年末常住900.07万（不含定州）/城镇化62.27%；河北人口大市。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市场与出口</w:t>
      </w:r>
      <w:r>
        <w:rPr>
          <w:rFonts w:ascii="微软雅黑" w:hAnsi="微软雅黑" w:eastAsia="微软雅黑"/>
          <w:b w:val="0"/>
          <w:color w:val="1F2A44"/>
          <w:sz w:val="22"/>
        </w:rPr>
        <w:t>：社零含定州1851.2亿/+4.7%；进出口848.1亿/+6.8%（出口807亿），民营占83.9%。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三、最关键的宏观错位：GDP破5000亿、制造强，但固投大降、人口自然负增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第一组错位</w:t>
      </w:r>
      <w:r>
        <w:rPr>
          <w:rFonts w:ascii="微软雅黑" w:hAnsi="微软雅黑" w:eastAsia="微软雅黑"/>
          <w:b w:val="0"/>
          <w:color w:val="1F2A44"/>
          <w:sz w:val="22"/>
        </w:rPr>
        <w:t>：2025年GDP目标6%，实际含定州5002.5亿/+6.0%</w:t>
      </w:r>
      <w:r>
        <w:rPr>
          <w:rFonts w:ascii="微软雅黑" w:hAnsi="微软雅黑" w:eastAsia="微软雅黑"/>
          <w:b/>
          <w:color w:val="1F2A44"/>
          <w:sz w:val="22"/>
        </w:rPr>
        <w:t>精准达标</w:t>
      </w:r>
      <w:r>
        <w:rPr>
          <w:rFonts w:ascii="微软雅黑" w:hAnsi="微软雅黑" w:eastAsia="微软雅黑"/>
          <w:b w:val="0"/>
          <w:color w:val="1F2A44"/>
          <w:sz w:val="22"/>
        </w:rPr>
        <w:t>、破5000亿；但固投-25.2%（含定州口径，目标+7.5%大幅未达）。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第二组错位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：规上工业+9.4%（超7%目标）、装备+13.6%占43%、汽车（长城）强；但</w:t>
      </w:r>
      <w:r>
        <w:rPr>
          <w:rFonts w:ascii="微软雅黑" w:hAnsi="微软雅黑" w:eastAsia="微软雅黑"/>
          <w:b/>
          <w:color w:val="1F2A44"/>
          <w:sz w:val="22"/>
        </w:rPr>
        <w:t>固投-25.2%、三产投资-29.4%</w:t>
      </w:r>
      <w:r>
        <w:rPr>
          <w:rFonts w:ascii="微软雅黑" w:hAnsi="微软雅黑" w:eastAsia="微软雅黑"/>
          <w:b w:val="0"/>
          <w:color w:val="1F2A44"/>
          <w:sz w:val="22"/>
        </w:rPr>
        <w:t>。“工业强、投资弱”。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第三组错位</w:t>
      </w:r>
      <w:r>
        <w:rPr>
          <w:rFonts w:ascii="微软雅黑" w:hAnsi="微软雅黑" w:eastAsia="微软雅黑"/>
          <w:b w:val="0"/>
          <w:color w:val="1F2A44"/>
          <w:sz w:val="22"/>
        </w:rPr>
        <w:t>：常住900万/城镇化62.3%、但</w:t>
      </w:r>
      <w:r>
        <w:rPr>
          <w:rFonts w:ascii="微软雅黑" w:hAnsi="微软雅黑" w:eastAsia="微软雅黑"/>
          <w:b/>
          <w:color w:val="1F2A44"/>
          <w:sz w:val="22"/>
        </w:rPr>
        <w:t>自然-3.92‰</w:t>
      </w:r>
      <w:r>
        <w:rPr>
          <w:rFonts w:ascii="微软雅黑" w:hAnsi="微软雅黑" w:eastAsia="微软雅黑"/>
          <w:b w:val="0"/>
          <w:color w:val="1F2A44"/>
          <w:sz w:val="22"/>
        </w:rPr>
        <w:t>（出生4.55/死亡8.08万）人口负自然增长。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保定是“装备/汽车制造强、固投弱、人口自然负增”的京津冀协同大市</w:t>
      </w:r>
      <w:r>
        <w:rPr>
          <w:rFonts w:ascii="微软雅黑" w:hAnsi="微软雅黑" w:eastAsia="微软雅黑"/>
          <w:b w:val="0"/>
          <w:color w:val="1F2A44"/>
          <w:sz w:val="22"/>
        </w:rPr>
        <w:t>——靠制造+雄安协同+汽车支撑。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GDP破5000亿（含定州）、+6.0%</w:t>
      </w:r>
      <w:r>
        <w:rPr>
          <w:rFonts w:ascii="微软雅黑" w:hAnsi="微软雅黑" w:eastAsia="微软雅黑"/>
          <w:b w:val="0"/>
          <w:color w:val="1F2A44"/>
          <w:sz w:val="21"/>
        </w:rPr>
        <w:t>：全省第二、达标。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规上工业+9.4%</w:t>
      </w:r>
      <w:r>
        <w:rPr>
          <w:rFonts w:ascii="微软雅黑" w:hAnsi="微软雅黑" w:eastAsia="微软雅黑"/>
          <w:b w:val="0"/>
          <w:color w:val="1F2A44"/>
          <w:sz w:val="21"/>
        </w:rPr>
        <w:t>：制造业+10.9%。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装备制造+13.6%（占规上43%）</w:t>
      </w:r>
      <w:r>
        <w:rPr>
          <w:rFonts w:ascii="微软雅黑" w:hAnsi="微软雅黑" w:eastAsia="微软雅黑"/>
          <w:b w:val="0"/>
          <w:color w:val="1F2A44"/>
          <w:sz w:val="21"/>
        </w:rPr>
        <w:t>：电力新能源/高端装备主线。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汽车制造+13.8%、新能源汽车17万辆</w:t>
      </w:r>
      <w:r>
        <w:rPr>
          <w:rFonts w:ascii="微软雅黑" w:hAnsi="微软雅黑" w:eastAsia="微软雅黑"/>
          <w:b w:val="0"/>
          <w:color w:val="1F2A44"/>
          <w:sz w:val="21"/>
        </w:rPr>
        <w:t>：长城强（海外45万辆）。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光伏电池+20.3%、电子计算机+22.9%</w:t>
      </w:r>
      <w:r>
        <w:rPr>
          <w:rFonts w:ascii="微软雅黑" w:hAnsi="微软雅黑" w:eastAsia="微软雅黑"/>
          <w:b w:val="0"/>
          <w:color w:val="1F2A44"/>
          <w:sz w:val="21"/>
        </w:rPr>
        <w:t>：新能源/电子。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6. </w:t>
      </w:r>
      <w:r>
        <w:rPr>
          <w:rFonts w:ascii="微软雅黑" w:hAnsi="微软雅黑" w:eastAsia="微软雅黑"/>
          <w:b/>
          <w:color w:val="1F2A44"/>
          <w:sz w:val="21"/>
        </w:rPr>
        <w:t>固投-25.2%</w:t>
      </w:r>
      <w:r>
        <w:rPr>
          <w:rFonts w:ascii="微软雅黑" w:hAnsi="微软雅黑" w:eastAsia="微软雅黑"/>
          <w:b w:val="0"/>
          <w:color w:val="1F2A44"/>
          <w:sz w:val="21"/>
        </w:rPr>
        <w:t>：但设备工器具+32.3%、高技术投资+9.7%。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7. </w:t>
      </w:r>
      <w:r>
        <w:rPr>
          <w:rFonts w:ascii="微软雅黑" w:hAnsi="微软雅黑" w:eastAsia="微软雅黑"/>
          <w:b/>
          <w:color w:val="1F2A44"/>
          <w:sz w:val="21"/>
        </w:rPr>
        <w:t>房地产-14.4%、销售面积+0.7%</w:t>
      </w:r>
      <w:r>
        <w:rPr>
          <w:rFonts w:ascii="微软雅黑" w:hAnsi="微软雅黑" w:eastAsia="微软雅黑"/>
          <w:b w:val="0"/>
          <w:color w:val="1F2A44"/>
          <w:sz w:val="21"/>
        </w:rPr>
        <w:t>：地产调整收窄。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8. </w:t>
      </w:r>
      <w:r>
        <w:rPr>
          <w:rFonts w:ascii="微软雅黑" w:hAnsi="微软雅黑" w:eastAsia="微软雅黑"/>
          <w:b/>
          <w:color w:val="1F2A44"/>
          <w:sz w:val="21"/>
        </w:rPr>
        <w:t>进出口+6.8%、出口+7.1%（机电占74.3%）</w:t>
      </w:r>
      <w:r>
        <w:rPr>
          <w:rFonts w:ascii="微软雅黑" w:hAnsi="微软雅黑" w:eastAsia="微软雅黑"/>
          <w:b w:val="0"/>
          <w:color w:val="1F2A44"/>
          <w:sz w:val="21"/>
        </w:rPr>
        <w:t>：出口强。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9. </w:t>
      </w:r>
      <w:r>
        <w:rPr>
          <w:rFonts w:ascii="微软雅黑" w:hAnsi="微软雅黑" w:eastAsia="微软雅黑"/>
          <w:b/>
          <w:color w:val="1F2A44"/>
          <w:sz w:val="21"/>
        </w:rPr>
        <w:t>民营进出口；+82.2%占84%</w:t>
      </w:r>
      <w:r>
        <w:rPr>
          <w:rFonts w:ascii="微软雅黑" w:hAnsi="微软雅黑" w:eastAsia="微软雅黑"/>
          <w:b w:val="0"/>
          <w:color w:val="1F2A44"/>
          <w:sz w:val="21"/>
        </w:rPr>
        <w:t>：民营贸易主导。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10. </w:t>
      </w:r>
      <w:r>
        <w:rPr>
          <w:rFonts w:ascii="微软雅黑" w:hAnsi="微软雅黑" w:eastAsia="微软雅黑"/>
          <w:b/>
          <w:color w:val="1F2A44"/>
          <w:sz w:val="21"/>
        </w:rPr>
        <w:t>常住900.07万/城镇化62.27%</w:t>
      </w:r>
      <w:r>
        <w:rPr>
          <w:rFonts w:ascii="微软雅黑" w:hAnsi="微软雅黑" w:eastAsia="微软雅黑"/>
          <w:b w:val="0"/>
          <w:color w:val="1F2A44"/>
          <w:sz w:val="21"/>
        </w:rPr>
        <w:t>：人口大市、自然-3.92‰。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11. </w:t>
      </w:r>
      <w:r>
        <w:rPr>
          <w:rFonts w:ascii="微软雅黑" w:hAnsi="微软雅黑" w:eastAsia="微软雅黑"/>
          <w:b/>
          <w:color w:val="1F2A44"/>
          <w:sz w:val="21"/>
        </w:rPr>
        <w:t>收入：城镇44900元/+4.1%、农村24283元/+5.5%</w:t>
      </w:r>
      <w:r>
        <w:rPr>
          <w:rFonts w:ascii="微软雅黑" w:hAnsi="微软雅黑" w:eastAsia="微软雅黑"/>
          <w:b w:val="0"/>
          <w:color w:val="1F2A44"/>
          <w:sz w:val="21"/>
        </w:rPr>
        <w:t>，城乡1.85。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12. </w:t>
      </w:r>
      <w:r>
        <w:rPr>
          <w:rFonts w:ascii="微软雅黑" w:hAnsi="微软雅黑" w:eastAsia="微软雅黑"/>
          <w:b/>
          <w:color w:val="1F2A44"/>
          <w:sz w:val="21"/>
        </w:rPr>
        <w:t>CPI+0.3%</w:t>
      </w:r>
      <w:r>
        <w:rPr>
          <w:rFonts w:ascii="微软雅黑" w:hAnsi="微软雅黑" w:eastAsia="微软雅黑"/>
          <w:b w:val="0"/>
          <w:color w:val="1F2A44"/>
          <w:sz w:val="21"/>
        </w:rPr>
        <w:t>：温和。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13. </w:t>
      </w:r>
      <w:r>
        <w:rPr>
          <w:rFonts w:ascii="微软雅黑" w:hAnsi="微软雅黑" w:eastAsia="微软雅黑"/>
          <w:b/>
          <w:color w:val="1F2A44"/>
          <w:sz w:val="21"/>
        </w:rPr>
        <w:t>财政362.7亿/+1.8%（税收192.1/+3.2%）</w:t>
      </w:r>
      <w:r>
        <w:rPr>
          <w:rFonts w:ascii="微软雅黑" w:hAnsi="微软雅黑" w:eastAsia="微软雅黑"/>
          <w:b w:val="0"/>
          <w:color w:val="1F2A44"/>
          <w:sz w:val="21"/>
        </w:rPr>
        <w:t>：达标。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14. </w:t>
      </w:r>
      <w:r>
        <w:rPr>
          <w:rFonts w:ascii="微软雅黑" w:hAnsi="微软雅黑" w:eastAsia="微软雅黑"/>
          <w:b/>
          <w:color w:val="1F2A44"/>
          <w:sz w:val="21"/>
        </w:rPr>
        <w:t>雄安协同+京津冀承接</w:t>
      </w:r>
      <w:r>
        <w:rPr>
          <w:rFonts w:ascii="微软雅黑" w:hAnsi="微软雅黑" w:eastAsia="微软雅黑"/>
          <w:b w:val="0"/>
          <w:color w:val="1F2A44"/>
          <w:sz w:val="21"/>
        </w:rPr>
        <w:t>：地缘。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15. </w:t>
      </w:r>
      <w:r>
        <w:rPr>
          <w:rFonts w:ascii="微软雅黑" w:hAnsi="微软雅黑" w:eastAsia="微软雅黑"/>
          <w:b/>
          <w:color w:val="1F2A44"/>
          <w:sz w:val="21"/>
        </w:rPr>
        <w:t>规上利润204.3亿/+48.6%</w:t>
      </w:r>
      <w:r>
        <w:rPr>
          <w:rFonts w:ascii="微软雅黑" w:hAnsi="微软雅黑" w:eastAsia="微软雅黑"/>
          <w:b w:val="0"/>
          <w:color w:val="1F2A44"/>
          <w:sz w:val="21"/>
        </w:rPr>
        <w:t>：盈利大增。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175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含定州5002.5亿/+6.0%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精准达标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+9.4%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+7.5%左右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-25.2%（转负）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严重未达标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含定州1851.2亿/+4.7%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含定州362.7亿/+1.8%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全体+4.9%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（稳增）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含定州848.1亿/+6.8%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简评</w:t>
      </w:r>
      <w:r>
        <w:rPr>
          <w:rFonts w:ascii="微软雅黑" w:hAnsi="微软雅黑" w:eastAsia="微软雅黑"/>
          <w:b w:val="0"/>
          <w:color w:val="1F2A44"/>
          <w:sz w:val="22"/>
        </w:rPr>
        <w:t>：</w:t>
      </w:r>
      <w:r>
        <w:rPr>
          <w:rFonts w:ascii="微软雅黑" w:hAnsi="微软雅黑" w:eastAsia="微软雅黑"/>
          <w:b/>
          <w:color w:val="1F2A44"/>
          <w:sz w:val="22"/>
        </w:rPr>
        <w:t>GDP、规上工业、进出口达标</w:t>
      </w:r>
      <w:r>
        <w:rPr>
          <w:rFonts w:ascii="微软雅黑" w:hAnsi="微软雅黑" w:eastAsia="微软雅黑"/>
          <w:b w:val="0"/>
          <w:color w:val="1F2A44"/>
          <w:sz w:val="22"/>
        </w:rPr>
        <w:t>；投资-25.2%大幅未达、社零/财政/收入略低。制造强是保定最大亮点，投资弱是最大约束。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三大产业（含定州）</w:t>
      </w:r>
      <w:r>
        <w:rPr>
          <w:rFonts w:ascii="微软雅黑" w:hAnsi="微软雅黑" w:eastAsia="微软雅黑"/>
          <w:b w:val="0"/>
          <w:color w:val="1F2A44"/>
          <w:sz w:val="22"/>
        </w:rPr>
        <w:t>：一产584.5亿/+3.7%、二产1646.2亿/+5.6%、三产2771.8亿/+6.8%；三产占55.4%。增长以三产+二产双驱。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工业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：规上工业+9.4%、制造业+10.9%；</w:t>
      </w:r>
      <w:r>
        <w:rPr>
          <w:rFonts w:ascii="微软雅黑" w:hAnsi="微软雅黑" w:eastAsia="微软雅黑"/>
          <w:b/>
          <w:color w:val="1F2A44"/>
          <w:sz w:val="22"/>
        </w:rPr>
        <w:t>装备制造+13.6%（占43%）、汽车+13.9%、金属制品+32.6%、电气机械+11.9%、医药+11.4%、光伏+20.3%</w:t>
      </w:r>
      <w:r>
        <w:rPr>
          <w:rFonts w:ascii="微软雅黑" w:hAnsi="微软雅黑" w:eastAsia="微软雅黑"/>
          <w:b w:val="0"/>
          <w:color w:val="1F2A44"/>
          <w:sz w:val="22"/>
        </w:rPr>
        <w:t>；规上利润204.3亿/+48.6%。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服务业/商贸</w:t>
      </w:r>
      <w:r>
        <w:rPr>
          <w:rFonts w:ascii="微软雅黑" w:hAnsi="微软雅黑" w:eastAsia="微软雅黑"/>
          <w:b w:val="0"/>
          <w:color w:val="1F2A44"/>
          <w:sz w:val="22"/>
        </w:rPr>
        <w:t>：批发零售+物流、餐饮+37%（报复性）、网络零售+56.5%。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增长归因</w:t>
      </w:r>
      <w:r>
        <w:rPr>
          <w:rFonts w:ascii="微软雅黑" w:hAnsi="微软雅黑" w:eastAsia="微软雅黑"/>
          <w:b w:val="0"/>
          <w:color w:val="1F2A44"/>
          <w:sz w:val="22"/>
        </w:rPr>
        <w:t>：保定GDP主要靠</w:t>
      </w:r>
      <w:r>
        <w:rPr>
          <w:rFonts w:ascii="微软雅黑" w:hAnsi="微软雅黑" w:eastAsia="微软雅黑"/>
          <w:b/>
          <w:color w:val="1F2A44"/>
          <w:sz w:val="22"/>
        </w:rPr>
        <w:t>装备制造+汽车+出口、三产（批发/餐饮）</w:t>
      </w:r>
      <w:r>
        <w:rPr>
          <w:rFonts w:ascii="微软雅黑" w:hAnsi="微软雅黑" w:eastAsia="微软雅黑"/>
          <w:b w:val="0"/>
          <w:color w:val="1F2A44"/>
          <w:sz w:val="22"/>
        </w:rPr>
        <w:t>；固投、地产拖累。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2025年一般公共预算收入（含定州）362.7亿/+1.8%（税收192.1亿/+3.2%）；支出（含定州）1086.5亿/-14.7%。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结构性</w:t>
      </w:r>
      <w:r>
        <w:rPr>
          <w:rFonts w:ascii="微软雅黑" w:hAnsi="微软雅黑" w:eastAsia="微软雅黑"/>
          <w:b w:val="0"/>
          <w:color w:val="1F2A44"/>
          <w:sz w:val="22"/>
        </w:rPr>
        <w:t>：收入“达标、税收+3.2%”；但支出-14.7%（降幅大），反映债务化解/缩支。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含金量</w:t>
      </w:r>
      <w:r>
        <w:rPr>
          <w:rFonts w:ascii="微软雅黑" w:hAnsi="微软雅黑" w:eastAsia="微软雅黑"/>
          <w:b w:val="0"/>
          <w:color w:val="1F2A44"/>
          <w:sz w:val="22"/>
        </w:rPr>
        <w:t>：保定财政“税收稳增、支出收缩过大”，依赖转移支付；工业盈利+48.6%缓解税基。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常住（不含定州）900.07万/城镇化62.27%（较上年+1.17pct）；自然-3.92‰。收入：</w:t>
      </w:r>
      <w:r>
        <w:rPr>
          <w:rFonts w:ascii="微软雅黑" w:hAnsi="微软雅黑" w:eastAsia="微软雅黑"/>
          <w:b/>
          <w:color w:val="1F2A44"/>
          <w:sz w:val="22"/>
        </w:rPr>
        <w:t>城镇44900元/+4.1%、农村24283元/+5.5%</w:t>
      </w:r>
      <w:r>
        <w:rPr>
          <w:rFonts w:ascii="微软雅黑" w:hAnsi="微软雅黑" w:eastAsia="微软雅黑"/>
          <w:b w:val="0"/>
          <w:color w:val="1F2A44"/>
          <w:sz w:val="22"/>
        </w:rPr>
        <w:t>，城乡1.85。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就业：城镇新增9.3万；民营GDP占比67.2%。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民生结论</w:t>
      </w:r>
      <w:r>
        <w:rPr>
          <w:rFonts w:ascii="微软雅黑" w:hAnsi="微软雅黑" w:eastAsia="微软雅黑"/>
          <w:b w:val="0"/>
          <w:color w:val="1F2A44"/>
          <w:sz w:val="22"/>
        </w:rPr>
        <w:t>：收入农村快于城镇、城乡差距1.85中等偏小；人口自然负增、城镇化提升；就业稳、社保覆盖面广。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保定城镇化率约62%（河北中低水平），中心城区（竞秀/莲池）承接京津疏解；县域（雄安相关/白洋淀）与农业並重。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城乡收入比1.85（中等），农村+5.5%快于城镇、差距在收敛；雄安协同+乡村振兴。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保定常住900万、自然-3.92‰（净死亡大于出生），靠机械流入（雄安/京津疏解带来的）+本地青壮年外出部分。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流入</w:t>
      </w:r>
      <w:r>
        <w:rPr>
          <w:rFonts w:ascii="微软雅黑" w:hAnsi="微软雅黑" w:eastAsia="微软雅黑"/>
          <w:b w:val="0"/>
          <w:color w:val="1F2A44"/>
          <w:sz w:val="22"/>
        </w:rPr>
        <w:t>：雄安协同承接、京津疏解产业人口、高校；</w:t>
      </w:r>
      <w:r>
        <w:rPr>
          <w:rFonts w:ascii="微软雅黑" w:hAnsi="微软雅黑" w:eastAsia="微软雅黑"/>
          <w:b/>
          <w:color w:val="1F2A44"/>
          <w:sz w:val="22"/>
        </w:rPr>
        <w:t>流出</w:t>
      </w:r>
      <w:r>
        <w:rPr>
          <w:rFonts w:ascii="微软雅黑" w:hAnsi="微软雅黑" w:eastAsia="微软雅黑"/>
          <w:b w:val="0"/>
          <w:color w:val="1F2A44"/>
          <w:sz w:val="22"/>
        </w:rPr>
        <w:t>：青壮年赴京津。总体“净流入趋势、结构改善”但自然负增是压力。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2025年保定CPI</w:t>
      </w:r>
      <w:r>
        <w:rPr>
          <w:rFonts w:ascii="微软雅黑" w:hAnsi="微软雅黑" w:eastAsia="微软雅黑"/>
          <w:b/>
          <w:color w:val="1F2A44"/>
          <w:sz w:val="22"/>
        </w:rPr>
        <w:t>上涨0.3%</w:t>
      </w:r>
      <w:r>
        <w:rPr>
          <w:rFonts w:ascii="微软雅黑" w:hAnsi="微软雅黑" w:eastAsia="微软雅黑"/>
          <w:b w:val="0"/>
          <w:color w:val="1F2A44"/>
          <w:sz w:val="22"/>
        </w:rPr>
        <w:t>（温和），食品-0.4%、交通-2.1%。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金融：存款14681.3亿/+7.3%（住户+9.5%）、贷款9049.4亿/+8.1%；存贷比61.6%。“宽中向上”。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十二、区域一体化：保定在“京津冀协同+雄安+保定都市圈”里的位置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保定是京津冀协同核心、白洋淀/雄安新区（2017年）临近，“雄保一体化”、保定都市圈获批；承接北京/天津功能疏解（京津冀协同）。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制造业协同：长城汽车（海外45万辆）、装备制造对接京津/雄安，华北物流枢纽。保定是“一保定雄安+京津冀协同”枢纽市。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装备制造升级</w:t>
      </w:r>
      <w:r>
        <w:rPr>
          <w:rFonts w:ascii="微软雅黑" w:hAnsi="微软雅黑" w:eastAsia="微软雅黑"/>
          <w:b w:val="0"/>
          <w:color w:val="1F2A44"/>
          <w:sz w:val="21"/>
        </w:rPr>
        <w:t>：装备占43%、电力/高端装备，制造强市。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汽车（长城/新能源汽车）</w:t>
      </w:r>
      <w:r>
        <w:rPr>
          <w:rFonts w:ascii="微软雅黑" w:hAnsi="微软雅黑" w:eastAsia="微软雅黑"/>
          <w:b w:val="0"/>
          <w:color w:val="1F2A44"/>
          <w:sz w:val="21"/>
        </w:rPr>
        <w:t>：新能源17万辆、海外45万辆、汽车链条。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雄安协同/京津冀</w:t>
      </w:r>
      <w:r>
        <w:rPr>
          <w:rFonts w:ascii="微软雅黑" w:hAnsi="微软雅黑" w:eastAsia="微软雅黑"/>
          <w:b w:val="0"/>
          <w:color w:val="1F2A44"/>
          <w:sz w:val="21"/>
        </w:rPr>
        <w:t>：疏解承接、白洋淀生态。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固定资产投资修复</w:t>
      </w:r>
      <w:r>
        <w:rPr>
          <w:rFonts w:ascii="微软雅黑" w:hAnsi="微软雅黑" w:eastAsia="微软雅黑"/>
          <w:b w:val="0"/>
          <w:color w:val="1F2A44"/>
          <w:sz w:val="21"/>
        </w:rPr>
        <w:t>：固投-25.2%后，靠基建/产业/雄安协同修复。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人口/消费/城镇化</w:t>
      </w:r>
      <w:r>
        <w:rPr>
          <w:rFonts w:ascii="微软雅黑" w:hAnsi="微软雅黑" w:eastAsia="微软雅黑"/>
          <w:b w:val="0"/>
          <w:color w:val="1F2A44"/>
          <w:sz w:val="21"/>
        </w:rPr>
        <w:t>：自然负增下低城镇化率提升空间。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十四、最终结论：保定在“装备+汽车+京津冀协同”里的增长逻辑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结论</w:t>
      </w:r>
      <w:r>
        <w:rPr>
          <w:rFonts w:ascii="微软雅黑" w:hAnsi="微软雅黑" w:eastAsia="微软雅黑"/>
          <w:b w:val="0"/>
          <w:color w:val="1F2A44"/>
          <w:sz w:val="22"/>
        </w:rPr>
        <w:t>：保定2025年的“真相”是——</w:t>
      </w:r>
      <w:r>
        <w:rPr>
          <w:rFonts w:ascii="微软雅黑" w:hAnsi="微软雅黑" w:eastAsia="微软雅黑"/>
          <w:b/>
          <w:color w:val="1F2A44"/>
          <w:sz w:val="22"/>
        </w:rPr>
        <w:t>GDP+6%（达标）、规上+9.4%、装备/汽车强、进出口+6.8%、固投-25.2%、财政+1.8%</w:t>
      </w:r>
      <w:r>
        <w:rPr>
          <w:rFonts w:ascii="微软雅黑" w:hAnsi="微软雅黑" w:eastAsia="微软雅黑"/>
          <w:b w:val="0"/>
          <w:color w:val="1F2A44"/>
          <w:sz w:val="22"/>
        </w:rPr>
        <w:t>。它是“制造+京津冀协同+汽车”驱动，但投资弱、人口自然负增的城市。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对趋势判断</w:t>
      </w:r>
      <w:r>
        <w:rPr>
          <w:rFonts w:ascii="微软雅黑" w:hAnsi="微软雅黑" w:eastAsia="微软雅黑"/>
          <w:b w:val="0"/>
          <w:color w:val="1F2A44"/>
          <w:sz w:val="22"/>
        </w:rPr>
        <w:t>：装备制造+汽车+出口代表保定“动态”，投资/人口代表“约束”。</w:t>
      </w:r>
      <w:r>
        <w:rPr>
          <w:rFonts w:ascii="微软雅黑" w:hAnsi="微软雅黑" w:eastAsia="微软雅黑"/>
          <w:b/>
          <w:color w:val="1F2A44"/>
          <w:sz w:val="22"/>
        </w:rPr>
        <w:t>制造升级+雄安协同</w:t>
      </w:r>
      <w:r>
        <w:rPr>
          <w:rFonts w:ascii="微软雅黑" w:hAnsi="微软雅黑" w:eastAsia="微软雅黑"/>
          <w:b w:val="0"/>
          <w:color w:val="1F2A44"/>
          <w:sz w:val="22"/>
        </w:rPr>
        <w:t>决定中期潜力，</w:t>
      </w:r>
      <w:r>
        <w:rPr>
          <w:rFonts w:ascii="微软雅黑" w:hAnsi="微软雅黑" w:eastAsia="微软雅黑"/>
          <w:b/>
          <w:color w:val="1F2A44"/>
          <w:sz w:val="22"/>
        </w:rPr>
        <w:t>投资修复+京津冀红化</w:t>
      </w:r>
      <w:r>
        <w:rPr>
          <w:rFonts w:ascii="微软雅黑" w:hAnsi="微软雅黑" w:eastAsia="微软雅黑"/>
          <w:b w:val="0"/>
          <w:color w:val="1F2A44"/>
          <w:sz w:val="22"/>
        </w:rPr>
        <w:t>决定韧性。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若只看一个指标</w:t>
      </w:r>
      <w:r>
        <w:rPr>
          <w:rFonts w:ascii="微软雅黑" w:hAnsi="微软雅黑" w:eastAsia="微软雅黑"/>
          <w:b w:val="0"/>
          <w:color w:val="1F2A44"/>
          <w:sz w:val="22"/>
        </w:rPr>
        <w:t>：看</w:t>
      </w:r>
      <w:r>
        <w:rPr>
          <w:rFonts w:ascii="微软雅黑" w:hAnsi="微软雅黑" w:eastAsia="微软雅黑"/>
          <w:b/>
          <w:color w:val="1F2A44"/>
          <w:sz w:val="22"/>
        </w:rPr>
        <w:t>装备制造增速（+13.4%）与固投增速（-25.2%）</w:t>
      </w:r>
      <w:r>
        <w:rPr>
          <w:rFonts w:ascii="微软雅黑" w:hAnsi="微软雅黑" w:eastAsia="微软雅黑"/>
          <w:b w:val="0"/>
          <w:color w:val="1F2A44"/>
          <w:sz w:val="22"/>
        </w:rPr>
        <w:t>——保定靠“装备+汽车”强工业，但投资大幅收缩是隐忧；若固投能依托雄安/京津冀修复，保定可从中期规模增长。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保定市人民政府《2025年保定市政府工作报告》（2025年，张宝亮）。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保定市统计局《2025年保定市国民经济和社会发展统计公报》（2026年5月）。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河北省2025年统计公报、返回京津冀协同规划交叉核验。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GDP（含/不含定州）增速 vs 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规上工业增加值及分行业（装备/汽车/光伏/医药）增速。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固定资产投资（总量/工业/房地产/设备）增速。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社会消费品零售总额、餐饮、网络零售。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进出口、出口、民营企业占比。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一般公共预算收入/税收、财政支出、民生占比。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常住人口、城镇化率、自然增长率。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CPI/核心CPI、规上工业利润。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长城汽车销量/新能源汽车、光伏。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雄安协同项目、京津冀疏解。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