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兰州市2025年政府工作报告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从“西北交通枢纽、有色冶金、新能源装备、石化产业与黄河治理”重新理解兰州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研究对象：2025年兰州市政府工作报告及同期财政、国民经济和社会发展统计资料、2026年官方复盘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二、先看兰州的特殊底盘：西北枢纽、石化/有色冶金、生物医药与黄河之都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三、最关键的宏观错位：GDP破3900亿达标，工业/出口爆发，但投资/消费/固投转负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十二、区域一体化：兰州在“强省会+兰州都市圈+面向中亚’一带一路’”里的位置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十四、最终结论：兰州在“石化有色+新能源装备+枢纽物流”里的增长逻辑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2025年兰州最显著的是“GDP 3903.61亿元、增长5.5%（达5.5%目标）、三产占65.6%”、“规上工业+8.7%但电子工业+64.1%、有色工业+50.6%”、“外贸进出口143亿元/+49.1%、出口+128.1%”、“常住人口445.14万、自然增长率-4.04‰”。这说明兰州在“强省会行动”下实现力争上游，但</w:t>
      </w:r>
      <w:r>
        <w:rPr>
          <w:rFonts w:ascii="微软雅黑" w:hAnsi="微软雅黑" w:eastAsia="微软雅黑"/>
          <w:b/>
          <w:color w:val="1F2A44"/>
          <w:sz w:val="22"/>
        </w:rPr>
        <w:t>投资-2.8%、消费+0.7%、地产走弱</w:t>
      </w:r>
      <w:r>
        <w:rPr>
          <w:rFonts w:ascii="微软雅黑" w:hAnsi="微软雅黑" w:eastAsia="微软雅黑"/>
          <w:b w:val="0"/>
          <w:color w:val="1F2A44"/>
          <w:sz w:val="22"/>
        </w:rPr>
        <w:t>是明显短板。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 5.5%/规上工业+7%/固投+10%/社零+5%/财政+3%）、2025年统计、2026年前瞻一起看，兰州呈现“西北工业省会”的典型路径：</w:t>
      </w:r>
      <w:r>
        <w:rPr>
          <w:rFonts w:ascii="微软雅黑" w:hAnsi="微软雅黑" w:eastAsia="微软雅黑"/>
          <w:b/>
          <w:color w:val="1F2A44"/>
          <w:sz w:val="22"/>
        </w:rPr>
        <w:t>以石化/有色/新材料/生物医药为引擎、出口爆发、但内需偏弱</w:t>
      </w:r>
      <w:r>
        <w:rPr>
          <w:rFonts w:ascii="微软雅黑" w:hAnsi="微软雅黑" w:eastAsia="微软雅黑"/>
          <w:b w:val="0"/>
          <w:color w:val="1F2A44"/>
          <w:sz w:val="22"/>
        </w:rPr>
        <w:t>。总量3903亿居甘肃首位、对全省增长贡献率28%。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兰州是“西北交通枢纽+石化/有色/生物医药之城”，靠“工业（石化/有色/新能源装备）+出口+物流枢纽+黄河文旅”增长。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观察兰州，与其只看“GDP 3903亿”，不如看“有色+50.6%、电子+64.1%、出口+128.1%、工业增加值1697亿（规上）”。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兰州市2025年政府工作报告（2025年1月，刘建勋作）”为起点，把“2025年GDP目标（5.5%左右）”与“2025年国民经济和社会发展统计公报实际值（3903.61亿元/+5.5%）”并置对照，再用2026年政府工作报告的复盘作事后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重点阅读三类证据：</w:t>
      </w:r>
      <w:r>
        <w:rPr>
          <w:rFonts w:ascii="微软雅黑" w:hAnsi="微软雅黑" w:eastAsia="微软雅黑"/>
          <w:b/>
          <w:color w:val="1F2A44"/>
          <w:sz w:val="22"/>
        </w:rPr>
        <w:t>一是指标目标是否达标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二是结构（谁贡献增长）是否匹配目标叙事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三是官方复盘如何自评、承认问题</w:t>
      </w:r>
      <w:r>
        <w:rPr>
          <w:rFonts w:ascii="微软雅黑" w:hAnsi="微软雅黑" w:eastAsia="微软雅黑"/>
          <w:b w:val="0"/>
          <w:color w:val="1F2A44"/>
          <w:sz w:val="22"/>
        </w:rPr>
        <w:t>。统计口径一般公共预算收入为地方级。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统一采用“同比增长%”（GDP为不变价、多数指标按可比价），财政与居民收入多为名义值，文中按原口径转录、不逐项换算。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二、先看兰州的特殊底盘：西北枢纽、石化/有色冶金、生物医药与黄河之都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区位与身份</w:t>
      </w:r>
      <w:r>
        <w:rPr>
          <w:rFonts w:ascii="微软雅黑" w:hAnsi="微软雅黑" w:eastAsia="微软雅黑"/>
          <w:b w:val="0"/>
          <w:color w:val="1F2A44"/>
          <w:sz w:val="22"/>
        </w:rPr>
        <w:t>：兰州是甘肃省会、中国西北地区重要工业基地和交通/物流枢纽（亚欧大陆桥节点、中川国际机场三期投运破1700万人次）、黄河穿城而过的“黄河之都”。实施“强省会”行动、兰州-兰州新区一体化，是兰西城市群核心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产业底盘</w:t>
      </w:r>
      <w:r>
        <w:rPr>
          <w:rFonts w:ascii="微软雅黑" w:hAnsi="微软雅黑" w:eastAsia="微软雅黑"/>
          <w:b w:val="0"/>
          <w:color w:val="1F2A44"/>
          <w:sz w:val="22"/>
        </w:rPr>
        <w:t>：一是石化（兰州石化百万吨乙烯、产值破千亿）；二是有色冶金/新材料（产值均超500亿、原铝/电解锌）；三是新能源装备/电力（发电装机1043万千瓦/+25.7%、太阳能发电+37.5%）；四是生物医药（兰州生物制品、500亿营收）；五是数据信息/数字经济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人口底盘</w:t>
      </w:r>
      <w:r>
        <w:rPr>
          <w:rFonts w:ascii="微软雅黑" w:hAnsi="微软雅黑" w:eastAsia="微软雅黑"/>
          <w:b w:val="0"/>
          <w:color w:val="1F2A44"/>
          <w:sz w:val="22"/>
        </w:rPr>
        <w:t>：2025年末常住人口445.14万/+0.34%（净增1.49万），城镇化率86.37%；高校（兰州大学、兰理工等）提供人才。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市场与出口</w:t>
      </w:r>
      <w:r>
        <w:rPr>
          <w:rFonts w:ascii="微软雅黑" w:hAnsi="微软雅黑" w:eastAsia="微软雅黑"/>
          <w:b w:val="0"/>
          <w:color w:val="1F2A44"/>
          <w:sz w:val="22"/>
        </w:rPr>
        <w:t>：2025年社零1474.3亿元/+0.7%；外贸进出口143亿元/+49.1%、出口+128.1%（“一带一路”占59.4%）。出口爆发是2025年最大亮点。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三、最关键的宏观错位：GDP破3900亿达标，工业/出口爆发，但投资转负、消费弱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第一组错位</w:t>
      </w:r>
      <w:r>
        <w:rPr>
          <w:rFonts w:ascii="微软雅黑" w:hAnsi="微软雅黑" w:eastAsia="微软雅黑"/>
          <w:b w:val="0"/>
          <w:color w:val="1F2A44"/>
          <w:sz w:val="22"/>
        </w:rPr>
        <w:t>：2025年GDP目标5.5%左右，实际3903.61亿元/+5.5%</w:t>
      </w:r>
      <w:r>
        <w:rPr>
          <w:rFonts w:ascii="微软雅黑" w:hAnsi="微软雅黑" w:eastAsia="微软雅黑"/>
          <w:b/>
          <w:color w:val="1F2A44"/>
          <w:sz w:val="22"/>
        </w:rPr>
        <w:t>精准达标</w:t>
      </w:r>
      <w:r>
        <w:rPr>
          <w:rFonts w:ascii="微软雅黑" w:hAnsi="微软雅黑" w:eastAsia="微软雅黑"/>
          <w:b w:val="0"/>
          <w:color w:val="1F2A44"/>
          <w:sz w:val="22"/>
        </w:rPr>
        <w:t>，且总量从3662亿跃升至3900亿、“十四五”年均+4.3%。但</w:t>
      </w:r>
      <w:r>
        <w:rPr>
          <w:rFonts w:ascii="微软雅黑" w:hAnsi="微软雅黑" w:eastAsia="微软雅黑"/>
          <w:b/>
          <w:color w:val="1F2A44"/>
          <w:sz w:val="22"/>
        </w:rPr>
        <w:t>投资-2.8%（目标+10%）与消费+0.7%（目标+5%）双双低于目标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第二组错位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：规上工业+8.7%（目标+7%达标），其中</w:t>
      </w:r>
      <w:r>
        <w:rPr>
          <w:rFonts w:ascii="微软雅黑" w:hAnsi="微软雅黑" w:eastAsia="微软雅黑"/>
          <w:b/>
          <w:color w:val="1F2A44"/>
          <w:sz w:val="22"/>
        </w:rPr>
        <w:t>有色工业+50.6%、电子工业+64.1%爆发</w:t>
      </w:r>
      <w:r>
        <w:rPr>
          <w:rFonts w:ascii="微软雅黑" w:hAnsi="微软雅黑" w:eastAsia="微软雅黑"/>
          <w:b w:val="0"/>
          <w:color w:val="1F2A44"/>
          <w:sz w:val="22"/>
        </w:rPr>
        <w:t>；但建材-24.6%、纺织-3.3%、平板玻璃归零——新旧动能分化。出口+128.1%爆炸，进口-13.3%。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第三组错位</w:t>
      </w:r>
      <w:r>
        <w:rPr>
          <w:rFonts w:ascii="微软雅黑" w:hAnsi="微软雅黑" w:eastAsia="微软雅黑"/>
          <w:b w:val="0"/>
          <w:color w:val="1F2A44"/>
          <w:sz w:val="22"/>
        </w:rPr>
        <w:t>：常住人口+0.34%微增，但</w:t>
      </w:r>
      <w:r>
        <w:rPr>
          <w:rFonts w:ascii="微软雅黑" w:hAnsi="微软雅黑" w:eastAsia="微软雅黑"/>
          <w:b/>
          <w:color w:val="1F2A44"/>
          <w:sz w:val="22"/>
        </w:rPr>
        <w:t>自然增长率-4.04‰（出生4.34‰&lt;死亡8.38‰）</w:t>
      </w:r>
      <w:r>
        <w:rPr>
          <w:rFonts w:ascii="微软雅黑" w:hAnsi="微软雅黑" w:eastAsia="微软雅黑"/>
          <w:b w:val="0"/>
          <w:color w:val="1F2A44"/>
          <w:sz w:val="22"/>
        </w:rPr>
        <w:t>严重负自然增长，人口结构性衰退明显。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兰州是“工业/出口强、投资/消费弱、人口自然负增长”的西北省会</w:t>
      </w:r>
      <w:r>
        <w:rPr>
          <w:rFonts w:ascii="微软雅黑" w:hAnsi="微软雅黑" w:eastAsia="微软雅黑"/>
          <w:b w:val="0"/>
          <w:color w:val="1F2A44"/>
          <w:sz w:val="22"/>
        </w:rPr>
        <w:t>——增长靠工业与出口，内需与人口是长期短板。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GDP精准达标</w:t>
      </w:r>
      <w:r>
        <w:rPr>
          <w:rFonts w:ascii="微软雅黑" w:hAnsi="微软雅黑" w:eastAsia="微软雅黑"/>
          <w:b w:val="0"/>
          <w:color w:val="1F2A44"/>
          <w:sz w:val="21"/>
        </w:rPr>
        <w:t>：3903.61亿/+5.5%恰为预算目标，“十四五”年均+4.3%。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有色工业+50.6%</w:t>
      </w:r>
      <w:r>
        <w:rPr>
          <w:rFonts w:ascii="微软雅黑" w:hAnsi="微软雅黑" w:eastAsia="微软雅黑"/>
          <w:b w:val="0"/>
          <w:color w:val="1F2A44"/>
          <w:sz w:val="21"/>
        </w:rPr>
        <w:t>：黄金产量+224.9%、原铝+2.4%，有色是2025最大动能。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电子工业+64.1%</w:t>
      </w:r>
      <w:r>
        <w:rPr>
          <w:rFonts w:ascii="微软雅黑" w:hAnsi="微软雅黑" w:eastAsia="微软雅黑"/>
          <w:b w:val="0"/>
          <w:color w:val="1F2A44"/>
          <w:sz w:val="21"/>
        </w:rPr>
        <w:t>：电子信息增速爆炸，但占比仍低。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规上工业总产值破3000亿</w:t>
      </w:r>
      <w:r>
        <w:rPr>
          <w:rFonts w:ascii="微软雅黑" w:hAnsi="微软雅黑" w:eastAsia="微软雅黑"/>
          <w:b w:val="0"/>
          <w:color w:val="1F2A44"/>
          <w:sz w:val="21"/>
        </w:rPr>
        <w:t>：石化、有色、生物医药三大集群支撑。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出口+128.1%</w:t>
      </w:r>
      <w:r>
        <w:rPr>
          <w:rFonts w:ascii="微软雅黑" w:hAnsi="微软雅黑" w:eastAsia="微软雅黑"/>
          <w:b w:val="0"/>
          <w:color w:val="1F2A44"/>
          <w:sz w:val="21"/>
        </w:rPr>
        <w:t>：出口96.5亿元、进口46.5亿元，贸易从逆转顺。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6. </w:t>
      </w:r>
      <w:r>
        <w:rPr>
          <w:rFonts w:ascii="微软雅黑" w:hAnsi="微软雅黑" w:eastAsia="微软雅黑"/>
          <w:b/>
          <w:color w:val="1F2A44"/>
          <w:sz w:val="21"/>
        </w:rPr>
        <w:t>外贸+49.1%、一带一路占59.4%</w:t>
      </w:r>
      <w:r>
        <w:rPr>
          <w:rFonts w:ascii="微软雅黑" w:hAnsi="微软雅黑" w:eastAsia="微软雅黑"/>
          <w:b w:val="0"/>
          <w:color w:val="1F2A44"/>
          <w:sz w:val="21"/>
        </w:rPr>
        <w:t>：开放的“一带一路”通道。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7. </w:t>
      </w:r>
      <w:r>
        <w:rPr>
          <w:rFonts w:ascii="微软雅黑" w:hAnsi="微软雅黑" w:eastAsia="微软雅黑"/>
          <w:b/>
          <w:color w:val="1F2A44"/>
          <w:sz w:val="21"/>
        </w:rPr>
        <w:t>固投-2.8%</w:t>
      </w:r>
      <w:r>
        <w:rPr>
          <w:rFonts w:ascii="微软雅黑" w:hAnsi="微软雅黑" w:eastAsia="微软雅黑"/>
          <w:b w:val="0"/>
          <w:color w:val="1F2A44"/>
          <w:sz w:val="21"/>
        </w:rPr>
        <w:t>：目标+10%未达成，工业化投资（第二产+10.4%）为正但整体转负。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8. </w:t>
      </w:r>
      <w:r>
        <w:rPr>
          <w:rFonts w:ascii="微软雅黑" w:hAnsi="微软雅黑" w:eastAsia="微软雅黑"/>
          <w:b/>
          <w:color w:val="1F2A44"/>
          <w:sz w:val="21"/>
        </w:rPr>
        <w:t>汽车类零售-9.3%、石油-15.8%</w:t>
      </w:r>
      <w:r>
        <w:rPr>
          <w:rFonts w:ascii="微软雅黑" w:hAnsi="微软雅黑" w:eastAsia="微软雅黑"/>
          <w:b w:val="0"/>
          <w:color w:val="1F2A44"/>
          <w:sz w:val="21"/>
        </w:rPr>
        <w:t>：地产依附的消费链条降温。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9. </w:t>
      </w:r>
      <w:r>
        <w:rPr>
          <w:rFonts w:ascii="微软雅黑" w:hAnsi="微软雅黑" w:eastAsia="微软雅黑"/>
          <w:b/>
          <w:color w:val="1F2A44"/>
          <w:sz w:val="21"/>
        </w:rPr>
        <w:t>社零+0.7%</w:t>
      </w:r>
      <w:r>
        <w:rPr>
          <w:rFonts w:ascii="微软雅黑" w:hAnsi="微软雅黑" w:eastAsia="微软雅黑"/>
          <w:b w:val="0"/>
          <w:color w:val="1F2A44"/>
          <w:sz w:val="21"/>
        </w:rPr>
        <w:t>：比目标+5%低约4个百分点，网络零售+29.3%是亮点。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10. </w:t>
      </w:r>
      <w:r>
        <w:rPr>
          <w:rFonts w:ascii="微软雅黑" w:hAnsi="微软雅黑" w:eastAsia="微软雅黑"/>
          <w:b/>
          <w:color w:val="1F2A44"/>
          <w:sz w:val="21"/>
        </w:rPr>
        <w:t>黄金产量+224.9%</w:t>
      </w:r>
      <w:r>
        <w:rPr>
          <w:rFonts w:ascii="微软雅黑" w:hAnsi="微软雅黑" w:eastAsia="微软雅黑"/>
          <w:b w:val="0"/>
          <w:color w:val="1F2A44"/>
          <w:sz w:val="21"/>
        </w:rPr>
        <w:t>：兰州及周边黄金产业爆发，2026年拟继续。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11. </w:t>
      </w:r>
      <w:r>
        <w:rPr>
          <w:rFonts w:ascii="微软雅黑" w:hAnsi="微软雅黑" w:eastAsia="微软雅黑"/>
          <w:b/>
          <w:color w:val="1F2A44"/>
          <w:sz w:val="21"/>
        </w:rPr>
        <w:t>常住人口445.14万/城镇化86.37%</w:t>
      </w:r>
      <w:r>
        <w:rPr>
          <w:rFonts w:ascii="微软雅黑" w:hAnsi="微软雅黑" w:eastAsia="微软雅黑"/>
          <w:b w:val="0"/>
          <w:color w:val="1F2A44"/>
          <w:sz w:val="21"/>
        </w:rPr>
        <w:t>：但自然增长率-4.04‰。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12. </w:t>
      </w:r>
      <w:r>
        <w:rPr>
          <w:rFonts w:ascii="微软雅黑" w:hAnsi="微软雅黑" w:eastAsia="微软雅黑"/>
          <w:b/>
          <w:color w:val="1F2A44"/>
          <w:sz w:val="21"/>
        </w:rPr>
        <w:t>收入：城镇52660元/+4.3%、农村21319元/+6.5%</w:t>
      </w:r>
      <w:r>
        <w:rPr>
          <w:rFonts w:ascii="微软雅黑" w:hAnsi="微软雅黑" w:eastAsia="微软雅黑"/>
          <w:b w:val="0"/>
          <w:color w:val="1F2A44"/>
          <w:sz w:val="21"/>
        </w:rPr>
        <w:t>，城乡比2.47（缩小）。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13. </w:t>
      </w:r>
      <w:r>
        <w:rPr>
          <w:rFonts w:ascii="微软雅黑" w:hAnsi="微软雅黑" w:eastAsia="微软雅黑"/>
          <w:b/>
          <w:color w:val="1F2A44"/>
          <w:sz w:val="21"/>
        </w:rPr>
        <w:t>CPI-0.1%</w:t>
      </w:r>
      <w:r>
        <w:rPr>
          <w:rFonts w:ascii="微软雅黑" w:hAnsi="微软雅黑" w:eastAsia="微软雅黑"/>
          <w:b w:val="0"/>
          <w:color w:val="1F2A44"/>
          <w:sz w:val="21"/>
        </w:rPr>
        <w:t>：通缩压力持续。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14. </w:t>
      </w:r>
      <w:r>
        <w:rPr>
          <w:rFonts w:ascii="微软雅黑" w:hAnsi="微软雅黑" w:eastAsia="微软雅黑"/>
          <w:b/>
          <w:color w:val="1F2A44"/>
          <w:sz w:val="21"/>
        </w:rPr>
        <w:t>一般公共预算收入260.91亿/+3.57%</w:t>
      </w:r>
      <w:r>
        <w:rPr>
          <w:rFonts w:ascii="微软雅黑" w:hAnsi="微软雅黑" w:eastAsia="微软雅黑"/>
          <w:b w:val="0"/>
          <w:color w:val="1F2A44"/>
          <w:sz w:val="21"/>
        </w:rPr>
        <w:t>：达标（目标+3%），非税+10.8%。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15. </w:t>
      </w:r>
      <w:r>
        <w:rPr>
          <w:rFonts w:ascii="微软雅黑" w:hAnsi="微软雅黑" w:eastAsia="微软雅黑"/>
          <w:b/>
          <w:color w:val="1F2A44"/>
          <w:sz w:val="21"/>
        </w:rPr>
        <w:t>旅游国内1.29亿人次/+17.3%、收入1000.12亿/+22.5%</w:t>
      </w:r>
      <w:r>
        <w:rPr>
          <w:rFonts w:ascii="微软雅黑" w:hAnsi="微软雅黑" w:eastAsia="微软雅黑"/>
          <w:b w:val="0"/>
          <w:color w:val="1F2A44"/>
          <w:sz w:val="21"/>
        </w:rPr>
        <w:t>：黄河文旅+夜游黄河。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1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175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3903.61亿元/+5.5%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精准达标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+8.7%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-2.8%（转负）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严重未达标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1474.3亿元/+0.7%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260.91亿元/+3.57%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略超目标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城镇/农村人均可支配收入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+6%/+8%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+4.3%/+6.5%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均低于目标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外贸进出口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约150亿元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143亿元/+49.1%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总额略低于、增速高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简评</w:t>
      </w:r>
      <w:r>
        <w:rPr>
          <w:rFonts w:ascii="微软雅黑" w:hAnsi="微软雅黑" w:eastAsia="微软雅黑"/>
          <w:b w:val="0"/>
          <w:color w:val="1F2A44"/>
          <w:sz w:val="22"/>
        </w:rPr>
        <w:t>：</w:t>
      </w:r>
      <w:r>
        <w:rPr>
          <w:rFonts w:ascii="微软雅黑" w:hAnsi="微软雅黑" w:eastAsia="微软雅黑"/>
          <w:b/>
          <w:color w:val="1F2A44"/>
          <w:sz w:val="22"/>
        </w:rPr>
        <w:t>GDP、规上工业、财政“达标”</w:t>
      </w:r>
      <w:r>
        <w:rPr>
          <w:rFonts w:ascii="微软雅黑" w:hAnsi="微软雅黑" w:eastAsia="微软雅黑"/>
          <w:b w:val="0"/>
          <w:color w:val="1F2A44"/>
          <w:sz w:val="22"/>
        </w:rPr>
        <w:t>，但</w:t>
      </w:r>
      <w:r>
        <w:rPr>
          <w:rFonts w:ascii="微软雅黑" w:hAnsi="微软雅黑" w:eastAsia="微软雅黑"/>
          <w:b/>
          <w:color w:val="1F2A44"/>
          <w:sz w:val="22"/>
        </w:rPr>
        <w:t>投资、消费、居民收入均未达目标</w:t>
      </w:r>
      <w:r>
        <w:rPr>
          <w:rFonts w:ascii="微软雅黑" w:hAnsi="微软雅黑" w:eastAsia="微软雅黑"/>
          <w:b w:val="0"/>
          <w:color w:val="1F2A44"/>
          <w:sz w:val="22"/>
        </w:rPr>
        <w:t>；外贸虽总量略低150亿但+49.1%高增、出口+128.1%爆炸。这是“工业与出口强、内需弱”的典型错位年。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三大产业</w:t>
      </w:r>
      <w:r>
        <w:rPr>
          <w:rFonts w:ascii="微软雅黑" w:hAnsi="微软雅黑" w:eastAsia="微软雅黑"/>
          <w:b w:val="0"/>
          <w:color w:val="1F2A44"/>
          <w:sz w:val="22"/>
        </w:rPr>
        <w:t>：一产75.29亿/+5.3%、二产1269.24亿/+5.9%、三产2559.08亿/+5.2%；三产占GDP 65.6%。增长由“三产+二产”双轮，二产（工业+8.7%）快于三产。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工业内部</w:t>
      </w:r>
      <w:r>
        <w:rPr>
          <w:rFonts w:ascii="微软雅黑" w:hAnsi="微软雅黑" w:eastAsia="微软雅黑"/>
          <w:b w:val="0"/>
          <w:color w:val="1F2A44"/>
          <w:sz w:val="22"/>
        </w:rPr>
        <w:t>：工业增加值934.53亿/+8.3%，规上+8.7%；</w:t>
      </w:r>
      <w:r>
        <w:rPr>
          <w:rFonts w:ascii="微软雅黑" w:hAnsi="微软雅黑" w:eastAsia="微软雅黑"/>
          <w:b/>
          <w:color w:val="1F2A44"/>
          <w:sz w:val="22"/>
        </w:rPr>
        <w:t>有色工业+50.6%、电子工业+64.1%、电力+17.6%、其他工业+14.4%</w:t>
      </w:r>
      <w:r>
        <w:rPr>
          <w:rFonts w:ascii="微软雅黑" w:hAnsi="微软雅黑" w:eastAsia="微软雅黑"/>
          <w:b w:val="0"/>
          <w:color w:val="1F2A44"/>
          <w:sz w:val="22"/>
        </w:rPr>
        <w:t>最亮眼；建材-24.6%、纺织-3.3%、石化-1.1%相对拖累。规上工业利润105.9亿/+59.2%。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服务业</w:t>
      </w:r>
      <w:r>
        <w:rPr>
          <w:rFonts w:ascii="微软雅黑" w:hAnsi="微软雅黑" w:eastAsia="微软雅黑"/>
          <w:b w:val="0"/>
          <w:color w:val="1F2A44"/>
          <w:sz w:val="22"/>
        </w:rPr>
        <w:t>：批发零售+13.5%、租赁商务+20.9%、信息传输软件+15.2%快；金融+0.3%、房地产+1.8%低迷。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增长归因</w:t>
      </w:r>
      <w:r>
        <w:rPr>
          <w:rFonts w:ascii="微软雅黑" w:hAnsi="微软雅黑" w:eastAsia="微软雅黑"/>
          <w:b w:val="0"/>
          <w:color w:val="1F2A44"/>
          <w:sz w:val="22"/>
        </w:rPr>
        <w:t>：兰州增长主要靠</w:t>
      </w:r>
      <w:r>
        <w:rPr>
          <w:rFonts w:ascii="微软雅黑" w:hAnsi="微软雅黑" w:eastAsia="微软雅黑"/>
          <w:b/>
          <w:color w:val="1F2A44"/>
          <w:sz w:val="22"/>
        </w:rPr>
        <w:t>工业（有色/电子/电力）+服务业（批发零售/信息/物流）+出口</w:t>
      </w:r>
      <w:r>
        <w:rPr>
          <w:rFonts w:ascii="微软雅黑" w:hAnsi="微软雅黑" w:eastAsia="微软雅黑"/>
          <w:b w:val="0"/>
          <w:color w:val="1F2A44"/>
          <w:sz w:val="22"/>
        </w:rPr>
        <w:t>；投资、地产、部分零售为负贡献。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2025年一般公共预算收入260.91亿元/+3.57%（恰达标目标+3%），其中税收175.88亿/+0.39%、非税85.03亿/+10.84%；一般公共预算支出588.46亿/+7.45%，民生支出474.9亿/+6.24%（占80.7%）。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结构性</w:t>
      </w:r>
      <w:r>
        <w:rPr>
          <w:rFonts w:ascii="微软雅黑" w:hAnsi="微软雅黑" w:eastAsia="微软雅黑"/>
          <w:b w:val="0"/>
          <w:color w:val="1F2A44"/>
          <w:sz w:val="22"/>
        </w:rPr>
        <w:t>：非税高增（+10.8%）支撑收入，但增值税-2.37%、企业所得税-4.58%等主体税负回；支出高增（+7.45%）支撑基建/民生，财政“靠非税+民生支出”特征明显。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含金量</w:t>
      </w:r>
      <w:r>
        <w:rPr>
          <w:rFonts w:ascii="微软雅黑" w:hAnsi="微软雅黑" w:eastAsia="微软雅黑"/>
          <w:b w:val="0"/>
          <w:color w:val="1F2A44"/>
          <w:sz w:val="22"/>
        </w:rPr>
        <w:t>：收入“量增质平”（税弱、非税强），支出“扩民生、扩基建”；财政更多依托转移支付与国资，是“强省会”但自主财力弱”。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常住人口445.14万/+0.34%（净增1.49万）、城镇化率86.37%；出生率4.34‰/死亡率8.38‰，</w:t>
      </w:r>
      <w:r>
        <w:rPr>
          <w:rFonts w:ascii="微软雅黑" w:hAnsi="微软雅黑" w:eastAsia="微软雅黑"/>
          <w:b/>
          <w:color w:val="1F2A44"/>
          <w:sz w:val="22"/>
        </w:rPr>
        <w:t>自然增长率-4.04‰</w:t>
      </w:r>
      <w:r>
        <w:rPr>
          <w:rFonts w:ascii="微软雅黑" w:hAnsi="微软雅黑" w:eastAsia="微软雅黑"/>
          <w:b w:val="0"/>
          <w:color w:val="1F2A44"/>
          <w:sz w:val="22"/>
        </w:rPr>
        <w:t>。收入：</w:t>
      </w:r>
      <w:r>
        <w:rPr>
          <w:rFonts w:ascii="微软雅黑" w:hAnsi="微软雅黑" w:eastAsia="微软雅黑"/>
          <w:b/>
          <w:color w:val="1F2A44"/>
          <w:sz w:val="22"/>
        </w:rPr>
        <w:t>城镇52660元/+4.3%、农村21319元/+6.5%</w:t>
      </w:r>
      <w:r>
        <w:rPr>
          <w:rFonts w:ascii="微软雅黑" w:hAnsi="微软雅黑" w:eastAsia="微软雅黑"/>
          <w:b w:val="0"/>
          <w:color w:val="1F2A44"/>
          <w:sz w:val="22"/>
        </w:rPr>
        <w:t>，城乡比2.47（缩小0.05）。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民生结论</w:t>
      </w:r>
      <w:r>
        <w:rPr>
          <w:rFonts w:ascii="微软雅黑" w:hAnsi="微软雅黑" w:eastAsia="微软雅黑"/>
          <w:b w:val="0"/>
          <w:color w:val="1F2A44"/>
          <w:sz w:val="22"/>
        </w:rPr>
        <w:t>：收入缓增但农村快于城镇、差距缩小；人口已是“低出生+高老+机械微流入”结构，老龄化（60+占23.3%）是长期压力。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兰州城镇化率86.37%（全国前列），主城区承载石化/有色/服务/枢纽；县域（兰州新区、红古、永登等）承载有色冶金、新材料、农业。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城乡收入比2.47，高于全国、逼近西部常态；农村收入增速（+6.5%）快于城镇（+4.3%）在收敛，但农村县基础仍薄弱。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兰州常住人口445.14万、微增1.49万，但</w:t>
      </w:r>
      <w:r>
        <w:rPr>
          <w:rFonts w:ascii="微软雅黑" w:hAnsi="微软雅黑" w:eastAsia="微软雅黑"/>
          <w:b/>
          <w:color w:val="1F2A44"/>
          <w:sz w:val="22"/>
        </w:rPr>
        <w:t>自然负增长（出生4.34‰vs死亡8.38‰，-4.04‰）</w:t>
      </w:r>
      <w:r>
        <w:rPr>
          <w:rFonts w:ascii="微软雅黑" w:hAnsi="微软雅黑" w:eastAsia="微软雅黑"/>
          <w:b w:val="0"/>
          <w:color w:val="1F2A44"/>
          <w:sz w:val="22"/>
        </w:rPr>
        <w:t>，增长依赖机械流入（高校+产业劳动力+新市民）。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流入</w:t>
      </w:r>
      <w:r>
        <w:rPr>
          <w:rFonts w:ascii="微软雅黑" w:hAnsi="微软雅黑" w:eastAsia="微软雅黑"/>
          <w:b w:val="0"/>
          <w:color w:val="1F2A44"/>
          <w:sz w:val="22"/>
        </w:rPr>
        <w:t>：高校、石化/有色就业、新区、“留兰人才”；</w:t>
      </w:r>
      <w:r>
        <w:rPr>
          <w:rFonts w:ascii="微软雅黑" w:hAnsi="微软雅黑" w:eastAsia="微软雅黑"/>
          <w:b/>
          <w:color w:val="1F2A44"/>
          <w:sz w:val="22"/>
        </w:rPr>
        <w:t>流出</w:t>
      </w:r>
      <w:r>
        <w:rPr>
          <w:rFonts w:ascii="微软雅黑" w:hAnsi="微软雅黑" w:eastAsia="微软雅黑"/>
          <w:b w:val="0"/>
          <w:color w:val="1F2A44"/>
          <w:sz w:val="22"/>
        </w:rPr>
        <w:t>：部分低收入/年轻劳动力外迁至东部。净流入强度有限、人口总量趋缓，是兰州最需警惕的长期变量。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2025年兰州CPI</w:t>
      </w:r>
      <w:r>
        <w:rPr>
          <w:rFonts w:ascii="微软雅黑" w:hAnsi="微软雅黑" w:eastAsia="微软雅黑"/>
          <w:b/>
          <w:color w:val="1F2A44"/>
          <w:sz w:val="22"/>
        </w:rPr>
        <w:t>累计下降0.1%</w:t>
      </w:r>
      <w:r>
        <w:rPr>
          <w:rFonts w:ascii="微软雅黑" w:hAnsi="微软雅黑" w:eastAsia="微软雅黑"/>
          <w:b w:val="0"/>
          <w:color w:val="1F2A44"/>
          <w:sz w:val="22"/>
        </w:rPr>
        <w:t>（通缩），食品烟酒-0.2%、交通通信-2.2%、衣着-1.2%；服务指数99.8。为低通胀/微通缩。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金融：全市存款余额12054亿/+7.4%、住户存款+8.6%；贷款16551亿/+1.1%（住户贷款-0.68%）。“宽货币、弱需求”，资产市场（股票市值+29.2%）回暖。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十二、区域一体化：兰州在“强省会+兰州都市圈+面向中亚’一带一路’”里的位置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兰州是甘肃省会、“强省会”核心，“兰州-兰州新区”一体化、兰西城市群、兰州都市圈；对全省经济增长贡献率28%、首位度30%。交通枢纽（兰州新区+中川国际机场三期1700万人次、兰张三四线铁路、G30等）支撑“中心城市-成渝/川渝”廊道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对外开放上，兰州面向中亚、欧洲，国际货运班列1118列、货值29亿美元，外贸+49.1%尤其出口+128%（对“一带一路”国家占59.4%）。兰州是“西北物流枢纽+开放口岸”型省会。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石化/有色/新材料集群</w:t>
      </w:r>
      <w:r>
        <w:rPr>
          <w:rFonts w:ascii="微软雅黑" w:hAnsi="微软雅黑" w:eastAsia="微软雅黑"/>
          <w:b w:val="0"/>
          <w:color w:val="1F2A44"/>
          <w:sz w:val="21"/>
        </w:rPr>
        <w:t>：兰州石化百万吨乙烯、有色冶金破千亿、黄金+224.9%，工业升级主升浪。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新能源装备+电力</w:t>
      </w:r>
      <w:r>
        <w:rPr>
          <w:rFonts w:ascii="微软雅黑" w:hAnsi="微软雅黑" w:eastAsia="微软雅黑"/>
          <w:b w:val="0"/>
          <w:color w:val="1F2A44"/>
          <w:sz w:val="21"/>
        </w:rPr>
        <w:t>：发电装机1043万千瓦、太阳能+37.5%、光储/零碳经济。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出口/开放与物流枢纽</w:t>
      </w:r>
      <w:r>
        <w:rPr>
          <w:rFonts w:ascii="微软雅黑" w:hAnsi="微软雅黑" w:eastAsia="微软雅黑"/>
          <w:b w:val="0"/>
          <w:color w:val="1F2A44"/>
          <w:sz w:val="21"/>
        </w:rPr>
        <w:t>：出口+128%、跨境班列、航空/铁路枢纽，“引进来”+走出去。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生物医药+数据信息</w:t>
      </w:r>
      <w:r>
        <w:rPr>
          <w:rFonts w:ascii="微软雅黑" w:hAnsi="微软雅黑" w:eastAsia="微软雅黑"/>
          <w:b w:val="0"/>
          <w:color w:val="1F2A44"/>
          <w:sz w:val="21"/>
        </w:rPr>
        <w:t>：兰州生物、数据信息550亿，战略性新兴产业占比升至11.5%。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强省会+人口/消费</w:t>
      </w:r>
      <w:r>
        <w:rPr>
          <w:rFonts w:ascii="微软雅黑" w:hAnsi="微软雅黑" w:eastAsia="微软雅黑"/>
          <w:b w:val="0"/>
          <w:color w:val="1F2A44"/>
          <w:sz w:val="21"/>
        </w:rPr>
        <w:t>：内需+0.7%弱、人口自然负增长，能否靠黄河文旅+美丽乡村+金融拉动消费与人口。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十四、最终结论：兰州在“石化有色+新能源装备+枢纽物流”里的增长逻辑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结论</w:t>
      </w:r>
      <w:r>
        <w:rPr>
          <w:rFonts w:ascii="微软雅黑" w:hAnsi="微软雅黑" w:eastAsia="微软雅黑"/>
          <w:b w:val="0"/>
          <w:color w:val="1F2A44"/>
          <w:sz w:val="22"/>
        </w:rPr>
        <w:t>：兰州2025年的“真相”是——</w:t>
      </w:r>
      <w:r>
        <w:rPr>
          <w:rFonts w:ascii="微软雅黑" w:hAnsi="微软雅黑" w:eastAsia="微软雅黑"/>
          <w:b/>
          <w:color w:val="1F2A44"/>
          <w:sz w:val="22"/>
        </w:rPr>
        <w:t>GDP+5.5%（达标）、工业+8.7%（有色/电子爆发）、出口+128%、外贸+49%，但投资-2.8%、消费+0.7%、人口自然-4.04‰</w:t>
      </w:r>
      <w:r>
        <w:rPr>
          <w:rFonts w:ascii="微软雅黑" w:hAnsi="微软雅黑" w:eastAsia="微软雅黑"/>
          <w:b w:val="0"/>
          <w:color w:val="1F2A44"/>
          <w:sz w:val="22"/>
        </w:rPr>
        <w:t>。它是“工业强、出口强、但内需弱”的西北省会，正在“强省会+新型工业化+开放”路径。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对趋势判断</w:t>
      </w:r>
      <w:r>
        <w:rPr>
          <w:rFonts w:ascii="微软雅黑" w:hAnsi="微软雅黑" w:eastAsia="微软雅黑"/>
          <w:b w:val="0"/>
          <w:color w:val="1F2A44"/>
          <w:sz w:val="22"/>
        </w:rPr>
        <w:t>：工业与出口代表兰州的“硬实力”，投资/消费/人口代表“软约束”。</w:t>
      </w:r>
      <w:r>
        <w:rPr>
          <w:rFonts w:ascii="微软雅黑" w:hAnsi="微软雅黑" w:eastAsia="微软雅黑"/>
          <w:b/>
          <w:color w:val="1F2A44"/>
          <w:sz w:val="22"/>
        </w:rPr>
        <w:t>有色/电子/电力/生物医药+出口</w:t>
      </w:r>
      <w:r>
        <w:rPr>
          <w:rFonts w:ascii="微软雅黑" w:hAnsi="微软雅黑" w:eastAsia="微软雅黑"/>
          <w:b w:val="0"/>
          <w:color w:val="1F2A44"/>
          <w:sz w:val="22"/>
        </w:rPr>
        <w:t>决定中期潜力，</w:t>
      </w:r>
      <w:r>
        <w:rPr>
          <w:rFonts w:ascii="微软雅黑" w:hAnsi="微软雅黑" w:eastAsia="微软雅黑"/>
          <w:b/>
          <w:color w:val="1F2A44"/>
          <w:sz w:val="22"/>
        </w:rPr>
        <w:t>投资盘活+消费/人口</w:t>
      </w:r>
      <w:r>
        <w:rPr>
          <w:rFonts w:ascii="微软雅黑" w:hAnsi="微软雅黑" w:eastAsia="微软雅黑"/>
          <w:b w:val="0"/>
          <w:color w:val="1F2A44"/>
          <w:sz w:val="22"/>
        </w:rPr>
        <w:t>决定长期韧性。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若只看一个指标</w:t>
      </w:r>
      <w:r>
        <w:rPr>
          <w:rFonts w:ascii="微软雅黑" w:hAnsi="微软雅黑" w:eastAsia="微软雅黑"/>
          <w:b w:val="0"/>
          <w:color w:val="1F2A44"/>
          <w:sz w:val="22"/>
        </w:rPr>
        <w:t>：看</w:t>
      </w:r>
      <w:r>
        <w:rPr>
          <w:rFonts w:ascii="微软雅黑" w:hAnsi="微软雅黑" w:eastAsia="微软雅黑"/>
          <w:b/>
          <w:color w:val="1F2A44"/>
          <w:sz w:val="22"/>
        </w:rPr>
        <w:t>规上工业中的有色工业增速（+50.6%）/电子（+64.1%）+出口增速（+128%）</w:t>
      </w:r>
      <w:r>
        <w:rPr>
          <w:rFonts w:ascii="微软雅黑" w:hAnsi="微软雅黑" w:eastAsia="微软雅黑"/>
          <w:b w:val="0"/>
          <w:color w:val="1F2A44"/>
          <w:sz w:val="22"/>
        </w:rPr>
        <w:t>——它们比GDP更能说明兰州“工业+开放”成色。兰州靠“一个强省会、一条铁路、一条黄河、一堆矿”，但2026冲刺五千亿要靠工业和开放。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兰州市人民政府《兰州市政府工作报告（2025）》（2025年1月）。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兰州市统计局《2025年兰州市国民经济和社会发展统计公报》（2026年5月）。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《2026年兰州市政府工作报告》（2026年1月）及“数读”解读。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西北各省统计公报与兰州统计年鉴交叉核验。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全年目标（+/-个百分点）。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规上工业增加值及分行业（有色/电子/电力/石化/建材）增速。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固定资产投资（总量/工业/基建/民间/房地产）增速。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社会消费品零售总额与2026年目标（市区限额以上）。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外贸进出口额（美元/人民币）、出口、“一带一路”占比。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一般公共预算收入/税收/非税、财政支出、民生占比。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常住人口、自然增长率、城镇化率、高校留兰。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CPI/核心CPI、规上工业利润总额。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旅游人数/旅游总收入（黄河文旅）、夜游黄河。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发电装机/光伏、有色/黄金产量、兰州牛肉拉面。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