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聊城市2025年政府工作报告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从“江北水城、钢铁铜铝（信发/祥光）、新能源汽车、轴承/化工、农业”重新理解聊城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研究对象：2025年聊城市政府工作报告及同期财政、国民经济和社会发展统计资料、2026年官方复盘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二、先看聊城的特别底盘：江北水城、钢铁铜铝、新能源汽车、农业强市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三、最关键的宏观错位：工业外贸强（进出口+15.5%），但固投+0.3%、地产-16.6%偏弱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十二、区域一体化：聊城在济南都市圈、中原经济区、黄河流域“三圈”里的位置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十四、最终结论：聊城在“江北水城+制造贸易+农业强市”里的增长逻辑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2025年聊城最显著的是“GDP 3304.15亿/+5.6%、规上工业+7.7%（金属/化工/汽车强）、进出口728.07亿/+15.5%（进口+33.1%）、农林牧渔总产值854.67亿”、“但固定资产投资+0.3%、房地产开发-16.6%、CPI-0.3%、社零+5.9%”。这说明聊城在“江北水城+工业制造+农业强市”中，</w:t>
      </w:r>
      <w:r>
        <w:rPr>
          <w:rFonts w:ascii="微软雅黑" w:hAnsi="微软雅黑" w:eastAsia="微软雅黑"/>
          <w:b/>
          <w:color w:val="1F2A44"/>
          <w:sz w:val="22"/>
        </w:rPr>
        <w:t>工业外贸农业强、投资地产弱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把2025年目标（GDP+5.5%、财收+3.5%、固投+6%）、2025年实际（GDP+5.6%、规上+7.7%、固投+0.3%、财收+3.0%）趋势看，聊城是“制造+农业+贸易”路径：</w:t>
      </w:r>
      <w:r>
        <w:rPr>
          <w:rFonts w:ascii="微软雅黑" w:hAnsi="微软雅黑" w:eastAsia="微软雅黑"/>
          <w:b/>
          <w:color w:val="1F2A44"/>
          <w:sz w:val="22"/>
        </w:rPr>
        <w:t>钢铁（钢材）+有色金属（铜铝）+新能源汽车/汽车制造、农机、轴承、农产品加工（食品）</w:t>
      </w:r>
      <w:r>
        <w:rPr>
          <w:rFonts w:ascii="微软雅黑" w:hAnsi="微软雅黑" w:eastAsia="微软雅黑"/>
          <w:b w:val="0"/>
          <w:color w:val="1F2A44"/>
          <w:sz w:val="22"/>
        </w:rPr>
        <w:t>是支柱；进出口破700亿。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聊城是“江北水城、中国轴承之城、钢铁铜铝强市、农业大市”，靠“金属制造+外贸+食品农业”增长。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观察聊城，与其只看“GDP 3304亿”，不如看“规上+7.7%、进出口破700亿（+15.5%）、金属制品+43.1%、新能源汽车+75.9%、农业强市”。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本报告以“聊城市政府工作报告（2025年2月）”为起点，把“2025年GDP目标（5.5%）”与“官方2025年（3304.15亿/+5.6%）”并置对照，用“2025年聊城市统计公报”和“2026年政府工作报告”横向核验。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口径提示：“GDP、规上工业增速”按可比价（实际）；“投资、消费、进出口、财政”按现价（名义）。“常住人口”用统计公报（575.86万）、城镇化率58.34%。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总量与增速、产业动能（金属/农业/汽车）、外贸、财政、民生与人口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特别提示（不吃老本）：聊城2024年GDP~3129亿（+5.5%）、2025年3304.15亿/+5.6%；它不是“只有江北水城”——</w:t>
      </w:r>
      <w:r>
        <w:rPr>
          <w:rFonts w:ascii="微软雅黑" w:hAnsi="微软雅黑" w:eastAsia="微软雅黑"/>
          <w:b/>
          <w:color w:val="1F2A44"/>
          <w:sz w:val="22"/>
        </w:rPr>
        <w:t>钢铁（信发）、有色金属（祥光/铜铝）、汽车（时风农机）、轴承（临清）、农产品加工、轴承”才是真正底色；装备制造+22.5%。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二、先看聊城的特别底盘：江北水城、钢铁铜铝、新能源汽车、农业强市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聊城地处山东省西部、黄河北岸、冀鲁豫三省交界，是</w:t>
      </w:r>
      <w:r>
        <w:rPr>
          <w:rFonts w:ascii="微软雅黑" w:hAnsi="微软雅黑" w:eastAsia="微软雅黑"/>
          <w:b/>
          <w:color w:val="1F2A44"/>
          <w:sz w:val="22"/>
        </w:rPr>
        <w:t>江北水城（京杭大运河/东昌湖）、中国轴承之城、钢铁铜铝之都、农业大市</w:t>
      </w:r>
      <w:r>
        <w:rPr>
          <w:rFonts w:ascii="微软雅黑" w:hAnsi="微软雅黑" w:eastAsia="微软雅黑"/>
          <w:b w:val="0"/>
          <w:color w:val="1F2A44"/>
          <w:sz w:val="22"/>
        </w:rPr>
        <w:t>；以“信发集团、祥光铜业、时风农机制造”著称。2025年GDP 3304.15亿、常住575.86万、城镇化率58.34%、山东中西部。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钢铁/有色金属（铜铝）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信发（铝/电力/化工）、祥光铜（铜加工）、十种有色金属207.4万吨——“金属制造”。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汽车/农机制造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时风（低速载货汽车）、新能源汽车（+75.9%）、轴承（临清轴承）、机械——“装备制造+22.5%”。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化工/建材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化学原料及制品+12.9%、烧碱/尿素、建材——“绿色化工”。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农业强市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粮食589万吨、农产品加工（食品）、农牧渔总产值854.67亿、蔬菜/肉蛋——</w:t>
      </w:r>
      <w:r>
        <w:rPr>
          <w:rFonts w:ascii="微软雅黑" w:hAnsi="微软雅黑" w:eastAsia="微软雅黑"/>
          <w:b/>
          <w:color w:val="1F2A44"/>
          <w:sz w:val="21"/>
        </w:rPr>
        <w:t>农业大市”。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江北水城/现代服务业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运河文化、文旅（东昌湖）、商贸物流、医养——“服务业+旅游”。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这五根（金属+汽车农机+化工+农业+水城服务）构成聊城独特底盘：</w:t>
      </w:r>
      <w:r>
        <w:rPr>
          <w:rFonts w:ascii="微软雅黑" w:hAnsi="微软雅黑" w:eastAsia="微软雅黑"/>
          <w:b/>
          <w:color w:val="1F2A44"/>
          <w:sz w:val="22"/>
        </w:rPr>
        <w:t>左手重工业（钢铁铜铝），右手农业+水城文化</w:t>
      </w:r>
      <w:r>
        <w:rPr>
          <w:rFonts w:ascii="微软雅黑" w:hAnsi="微软雅黑" w:eastAsia="微软雅黑"/>
          <w:b w:val="0"/>
          <w:color w:val="1F2A44"/>
          <w:sz w:val="22"/>
        </w:rPr>
        <w:t>。理解聊城，先理解“江北水城、轴承之城、农业强市”。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三、最关键的宏观错位：工业外贸强（进出口+15.5%），但固投+0.3%、地产-16.6%偏弱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2025年聊城最需要辨析的一组“错位”：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规上工业+7.7%（金属/化工/汽车强）、进出口+15.5%（进口+33.1%）、装备制造+22.5%、新能源汽车+75.9%强，但固定资产投资+0.3%、房地产开发-16.6%、社零+5.9%、财收+3.0%（低3.5%）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为什么“工业/外贸这么强”，投资与地产却偏弱？三解释：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其一，工业/外贸/农业旺、量大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规上+7.7%（金属制品+43.1%、化原+12.9%、汽车+27.2%）、进出口+15.5%、农林牧渔+4.5%——“制造外贸强”。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其二，投资/地产偏弱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固投+0.3%、房地产-16.6%/销售-7.2%、工业技改+18.6%但总量有限——“地产拖累投资”。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其三，消费/物价温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社零+5.9%（金银珠宝+75%）、但CPI-0.3%、汽车/家电-——“消费修复、物价低”。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小结：聊城2025年是“</w:t>
      </w:r>
      <w:r>
        <w:rPr>
          <w:rFonts w:ascii="微软雅黑" w:hAnsi="微软雅黑" w:eastAsia="微软雅黑"/>
          <w:b/>
          <w:color w:val="1F2A44"/>
          <w:sz w:val="22"/>
        </w:rPr>
        <w:t>工业外贸农业强、投资地产弱</w:t>
      </w:r>
      <w:r>
        <w:rPr>
          <w:rFonts w:ascii="微软雅黑" w:hAnsi="微软雅黑" w:eastAsia="微软雅黑"/>
          <w:b w:val="0"/>
          <w:color w:val="1F2A44"/>
          <w:sz w:val="22"/>
        </w:rPr>
        <w:t>”：金属/汽车/化工、出口强，地产、CPI弱。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1.规上工业+7.7%（金属制品+43.1%/汽车+27.2%）</w:t>
      </w:r>
      <w:r>
        <w:rPr>
          <w:rFonts w:ascii="微软雅黑" w:hAnsi="微软雅黑" w:eastAsia="微软雅黑"/>
          <w:b w:val="0"/>
          <w:color w:val="1F2A44"/>
          <w:sz w:val="21"/>
        </w:rPr>
        <w:t>“聊城制造强。”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2.进出口728.07亿/+15.5%（进口+33.1%/加工贸易+1.9倍）</w:t>
      </w:r>
      <w:r>
        <w:rPr>
          <w:rFonts w:ascii="微软雅黑" w:hAnsi="微软雅黑" w:eastAsia="微软雅黑"/>
          <w:b w:val="0"/>
          <w:color w:val="1F2A44"/>
          <w:sz w:val="21"/>
        </w:rPr>
        <w:t>“外贸强、进口原料旺。”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3.装备制造业+22.5%、高新技术占比58.4%</w:t>
      </w:r>
      <w:r>
        <w:rPr>
          <w:rFonts w:ascii="微软雅黑" w:hAnsi="微软雅黑" w:eastAsia="微软雅黑"/>
          <w:b w:val="0"/>
          <w:color w:val="1F2A44"/>
          <w:sz w:val="21"/>
        </w:rPr>
        <w:t>“新质制造。”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4.新能源汽车+75.9%（时风/农机制造）</w:t>
      </w:r>
      <w:r>
        <w:rPr>
          <w:rFonts w:ascii="微软雅黑" w:hAnsi="微软雅黑" w:eastAsia="微软雅黑"/>
          <w:b w:val="0"/>
          <w:color w:val="1F2A44"/>
          <w:sz w:val="21"/>
        </w:rPr>
        <w:t>“新能源车、农机强。”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5.钢铁/十种有色金属207.4万吨（信发/祥光）</w:t>
      </w:r>
      <w:r>
        <w:rPr>
          <w:rFonts w:ascii="微软雅黑" w:hAnsi="微软雅黑" w:eastAsia="微软雅黑"/>
          <w:b w:val="0"/>
          <w:color w:val="1F2A44"/>
          <w:sz w:val="21"/>
        </w:rPr>
        <w:t>“金属制造。”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6.农业：粮食589万吨、农林牧渔854.67亿、蔬菜/肉蛋</w:t>
      </w:r>
      <w:r>
        <w:rPr>
          <w:rFonts w:ascii="微软雅黑" w:hAnsi="微软雅黑" w:eastAsia="微软雅黑"/>
          <w:b w:val="0"/>
          <w:color w:val="1F2A44"/>
          <w:sz w:val="21"/>
        </w:rPr>
        <w:t>“农业强市。”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7.民营企业进出口370.6亿（占51%）</w:t>
      </w:r>
      <w:r>
        <w:rPr>
          <w:rFonts w:ascii="微软雅黑" w:hAnsi="微软雅黑" w:eastAsia="微软雅黑"/>
          <w:b w:val="0"/>
          <w:color w:val="1F2A44"/>
          <w:sz w:val="21"/>
        </w:rPr>
        <w:t>“民营外贸主力。”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8.固定资产投资+0.3%（制造业+21.8%/民间+15.3%）</w:t>
      </w:r>
      <w:r>
        <w:rPr>
          <w:rFonts w:ascii="微软雅黑" w:hAnsi="微软雅黑" w:eastAsia="微软雅黑"/>
          <w:b w:val="0"/>
          <w:color w:val="1F2A44"/>
          <w:sz w:val="21"/>
        </w:rPr>
        <w:t>“项目/民间投资旺、地产弱。”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9.房地产开发293.7亿/-16.6%、销售-7.2%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10.一般公共预算收入264.80亿/+3.0%（税收占59.7%）</w:t>
      </w:r>
      <w:r>
        <w:rPr>
          <w:rFonts w:ascii="微软雅黑" w:hAnsi="微软雅黑" w:eastAsia="微软雅黑"/>
          <w:b w:val="0"/>
          <w:color w:val="1F2A44"/>
          <w:sz w:val="21"/>
        </w:rPr>
        <w:t>“财收稳增。”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11.社零1388.01亿/+5.9%、金银珠宝+75%</w:t>
      </w:r>
      <w:r>
        <w:rPr>
          <w:rFonts w:ascii="微软雅黑" w:hAnsi="微软雅黑" w:eastAsia="微软雅黑"/>
          <w:b w:val="0"/>
          <w:color w:val="1F2A44"/>
          <w:sz w:val="21"/>
        </w:rPr>
        <w:t>“消费旺、结构。”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12.R&amp;D经费97.97亿/占3.09%、高企超1000家</w:t>
      </w:r>
      <w:r>
        <w:rPr>
          <w:rFonts w:ascii="微软雅黑" w:hAnsi="微软雅黑" w:eastAsia="微软雅黑"/>
          <w:b w:val="0"/>
          <w:color w:val="1F2A44"/>
          <w:sz w:val="21"/>
        </w:rPr>
        <w:t>“创新、新质。”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13.可再生能源装机691.5万千瓦/+32.1%、发电72.24亿千瓦时</w:t>
      </w:r>
      <w:r>
        <w:rPr>
          <w:rFonts w:ascii="微软雅黑" w:hAnsi="微软雅黑" w:eastAsia="微软雅黑"/>
          <w:b w:val="0"/>
          <w:color w:val="1F2A44"/>
          <w:sz w:val="21"/>
        </w:rPr>
        <w:t>“绿色低碳。”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14.居民收入30349元/+5.1%、城乡比1.73（缩）</w:t>
      </w:r>
      <w:r>
        <w:rPr>
          <w:rFonts w:ascii="微软雅黑" w:hAnsi="微软雅黑" w:eastAsia="微软雅黑"/>
          <w:b w:val="0"/>
          <w:color w:val="1F2A44"/>
          <w:sz w:val="21"/>
        </w:rPr>
        <w:t>“农村+5.5%&gt;城镇+4.6%。”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15.常住575.86万、城镇化率58.34%（+1.29pct）</w:t>
      </w:r>
      <w:r>
        <w:rPr>
          <w:rFonts w:ascii="微软雅黑" w:hAnsi="微软雅黑" w:eastAsia="微软雅黑"/>
          <w:b w:val="0"/>
          <w:color w:val="1F2A44"/>
          <w:sz w:val="21"/>
        </w:rPr>
        <w:t>“人口稳、城镇化快升。”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3304.15亿/5.6%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差5.7pct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1388.01亿/+5.9%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促稳提质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728.07亿/+15.5%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264.80亿/+3.0%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差0.5pct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30349元/+5.1%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略低GDP(名义)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GDP（+5.6%）、进出口（+15.5%）、规上（+7.7%）</w:t>
      </w:r>
      <w:r>
        <w:rPr>
          <w:rFonts w:ascii="微软雅黑" w:hAnsi="微软雅黑" w:eastAsia="微软雅黑"/>
          <w:b w:val="0"/>
          <w:color w:val="1F2A44"/>
          <w:sz w:val="22"/>
        </w:rPr>
        <w:t>较好；</w:t>
      </w:r>
      <w:r>
        <w:rPr>
          <w:rFonts w:ascii="微软雅黑" w:hAnsi="微软雅黑" w:eastAsia="微软雅黑"/>
          <w:b/>
          <w:color w:val="1F2A44"/>
          <w:sz w:val="22"/>
        </w:rPr>
        <w:t>固投（+0.3%）、财收（+3.0%）</w:t>
      </w:r>
      <w:r>
        <w:rPr>
          <w:rFonts w:ascii="微软雅黑" w:hAnsi="微软雅黑" w:eastAsia="微软雅黑"/>
          <w:b w:val="0"/>
          <w:color w:val="1F2A44"/>
          <w:sz w:val="22"/>
        </w:rPr>
        <w:t>略低目标。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金属/汽车/化工制造、外贸、农业是亮色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地产（-16.6%）、固投（+0.3%）、CPI（-0.3%）、财收（+3.0%低3.5%）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是短板——“工业外贸农业强、投资地产弱”，是“江北水城制造贸易”样本。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把聊城GDP的5.6%拆开：三次产业分别增4.0%、5.2%、6.3%（结构13.3：40.6：46.1）。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第三产业（服务业）+6.3%最快、第二产业（制造）+5.2%、第一产业（农业/粮食）+4.0%</w:t>
      </w:r>
      <w:r>
        <w:rPr>
          <w:rFonts w:ascii="微软雅黑" w:hAnsi="微软雅黑" w:eastAsia="微软雅黑"/>
          <w:b w:val="0"/>
          <w:color w:val="1F2A44"/>
          <w:sz w:val="22"/>
        </w:rPr>
        <w:t>——“三产+二产”双轮。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2026年聊城强调“工业强市、江北水城、黄河战略”，聚焦</w:t>
      </w:r>
      <w:r>
        <w:rPr>
          <w:rFonts w:ascii="微软雅黑" w:hAnsi="微软雅黑" w:eastAsia="微软雅黑"/>
          <w:b/>
          <w:color w:val="1F2A44"/>
          <w:sz w:val="22"/>
        </w:rPr>
        <w:t>钢铁/有色金属升级、新能源汽车、轴承（临清）、食品农业、化工新材料、跨境电商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——核心是“制造+农业+水城”。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：规上+7.7%（金属制品+43.1%、汽车+27.2%、化原+12.9%）、钢铁铜铝、新能源车——“金属/制造强”。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：+6.3%（商贸、物流、文旅、医养、跨境电商）——“服务+水城”。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：+4.0%（粮食589万吨、蔬菜/肉蛋、农产品加工）——“农业强市、稳”。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2025年聊城增长“靠工业（金属/汽车）+服务业（商贸/文旅）+农业”</w:t>
      </w:r>
      <w:r>
        <w:rPr>
          <w:rFonts w:ascii="微软雅黑" w:hAnsi="微软雅黑" w:eastAsia="微软雅黑"/>
          <w:b w:val="0"/>
          <w:color w:val="1F2A44"/>
          <w:sz w:val="22"/>
        </w:rPr>
        <w:t>，地产投资弱；“制造+外贸+农业”是核心。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2025年聊城</w:t>
      </w:r>
      <w:r>
        <w:rPr>
          <w:rFonts w:ascii="微软雅黑" w:hAnsi="微软雅黑" w:eastAsia="微软雅黑"/>
          <w:b/>
          <w:color w:val="1F2A44"/>
          <w:sz w:val="22"/>
        </w:rPr>
        <w:t>一般公共预算收入264.80亿元（+3.0%）</w:t>
      </w:r>
      <w:r>
        <w:rPr>
          <w:rFonts w:ascii="微软雅黑" w:hAnsi="微软雅黑" w:eastAsia="微软雅黑"/>
          <w:b w:val="0"/>
          <w:color w:val="1F2A44"/>
          <w:sz w:val="22"/>
        </w:rPr>
        <w:t>；税收收入157.96亿（+3.8%、占比59.7%）；支出554.92亿（-3.7%）、民生占74.4%。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税收+3.8%（占比59.7%）——“税收稳、含金量待提高”。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民生支出占74.4%（就业社保/教育环保增）。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金融支撑：R&amp;D 97.97亿（占3.09%、+0.09pct）、贷款/存款——信贷支持制造/农业。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：财收+3.0%（与GDP匹配、略低目标）、税收占59.7%、民生74.4%；财政对“新质、农业、民生”投入加大。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2025年聊城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居民人均可支配收入30349元（+5.1%）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，其中城镇38864元（+4.6%）、农村22437元（+5.5%），城乡比1.73（缩小）。消费：人均消费支出18293元（+3.7%）。就业：城镇新增就业4.37万人（完成109.2%）。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常住575.86万、城镇化率58.34%（+1.29pct）</w:t>
      </w:r>
      <w:r>
        <w:rPr>
          <w:rFonts w:ascii="微软雅黑" w:hAnsi="微软雅黑" w:eastAsia="微软雅黑"/>
          <w:b w:val="0"/>
          <w:color w:val="1F2A44"/>
          <w:sz w:val="22"/>
        </w:rPr>
        <w:t>；山东人口大市、城镇化快速提升、出生率偏低。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民生投入：就业社保/教育/节能环保、医疗养老——民生支出74.4%、扎实。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聊城城镇化率58.34%；县域经济强（临清轴承/高唐农机/茌平铝材/莘县蔬菜）；农村收入增速（+5.5%）&gt;城镇（+4.6%），</w:t>
      </w:r>
      <w:r>
        <w:rPr>
          <w:rFonts w:ascii="微软雅黑" w:hAnsi="微软雅黑" w:eastAsia="微软雅黑"/>
          <w:b/>
          <w:color w:val="1F2A44"/>
          <w:sz w:val="22"/>
        </w:rPr>
        <w:t>城乡比1.73缩小</w:t>
      </w:r>
      <w:r>
        <w:rPr>
          <w:rFonts w:ascii="微软雅黑" w:hAnsi="微软雅黑" w:eastAsia="微软雅黑"/>
          <w:b w:val="0"/>
          <w:color w:val="1F2A44"/>
          <w:sz w:val="22"/>
        </w:rPr>
        <w:t>；乡村振兴（一镇一策）、和美乡村128个。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粮食589万吨、蔬菜/肉蛋、农林牧渔854.67亿、产粮油果蔬</w:t>
      </w:r>
      <w:r>
        <w:rPr>
          <w:rFonts w:ascii="微软雅黑" w:hAnsi="微软雅黑" w:eastAsia="微软雅黑"/>
          <w:b w:val="0"/>
          <w:color w:val="1F2A44"/>
          <w:sz w:val="22"/>
        </w:rPr>
        <w:t>——“山东农业大市、菜篮子”。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一句话：“聊城是工业+农业大市、县域经济强、城乡融合推进”。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聊城常住575.86万（山东人口大市）、城镇化58.34%；“制造/农业/轴承”吸纳就业，但青年外流济南/青岛，主城（东昌府/茌平）+县域农业。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人口较稳（农业县、总量）、自然增长低</w:t>
      </w:r>
      <w:r>
        <w:rPr>
          <w:rFonts w:ascii="微软雅黑" w:hAnsi="微软雅黑" w:eastAsia="微软雅黑"/>
          <w:b w:val="0"/>
          <w:color w:val="1F2A44"/>
          <w:sz w:val="22"/>
        </w:rPr>
        <w:t>；城镇化快速提升（+1.29pct）。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2026年目标：稳就业、育人才（高企1000+、科技型1490家）——聊城靠“制造+农业”聚人。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2025年聊城</w:t>
      </w:r>
      <w:r>
        <w:rPr>
          <w:rFonts w:ascii="微软雅黑" w:hAnsi="微软雅黑" w:eastAsia="微软雅黑"/>
          <w:b/>
          <w:color w:val="1F2A44"/>
          <w:sz w:val="22"/>
        </w:rPr>
        <w:t>CPI-0.3%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（食品烟酒-2.1%、交通通信-2.7%；教育文娱+2.1%、其他用品+12.4%）——“低通胀、需求温”。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信贷扩张：存款/贷款（R&amp;D/科技贷）——宽信用支持制造/农业。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消费：社零+5.9%、金银珠宝+75%、以旧换新——消费旺。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宽信用、CPI-0.3%</w:t>
      </w:r>
      <w:r>
        <w:rPr>
          <w:rFonts w:ascii="微软雅黑" w:hAnsi="微软雅黑" w:eastAsia="微软雅黑"/>
          <w:b w:val="0"/>
          <w:color w:val="1F2A44"/>
          <w:sz w:val="22"/>
        </w:rPr>
        <w:t>；聊城靠“制造+消费+农业”稳需求（2026 CPI回升）。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十二、区域一体化：聊城在济南都市圈、中原经济区、黄河流域“三圈”里的位置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聊城是</w:t>
      </w:r>
      <w:r>
        <w:rPr>
          <w:rFonts w:ascii="微软雅黑" w:hAnsi="微软雅黑" w:eastAsia="微软雅黑"/>
          <w:b/>
          <w:color w:val="1F2A44"/>
          <w:sz w:val="22"/>
        </w:rPr>
        <w:t>济南都市圈重要成员、中原经济区/鲁西门户、黄河流域生态保护与高质量发展带、冀鲁豫交界中心城市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济南都市圈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接济（省会）、济南都市圈西翼、高铁（济郑高铁）。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中原经济区/黄河流域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冀鲁豫交界、黄河战略、中原城市群节点。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开放/一带一路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聊城口岸、单县/莘县农业出口、跨境电商、京杭大运河。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聊城在“济南+黄河流域+中原”里，最核心是“制造+农业+水城门户”</w:t>
      </w:r>
      <w:r>
        <w:rPr>
          <w:rFonts w:ascii="微软雅黑" w:hAnsi="微软雅黑" w:eastAsia="微软雅黑"/>
          <w:b w:val="0"/>
          <w:color w:val="1F2A44"/>
          <w:sz w:val="22"/>
        </w:rPr>
        <w:t>；区位（三省交界、运河）、农业是优势。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主线一：钢铁/有色金属升级（信发/祥光）</w:t>
      </w:r>
      <w:r>
        <w:rPr>
          <w:rFonts w:ascii="微软雅黑" w:hAnsi="微软雅黑" w:eastAsia="微软雅黑"/>
          <w:b w:val="0"/>
          <w:color w:val="1F2A44"/>
          <w:sz w:val="21"/>
        </w:rPr>
        <w:t>“铜铝/大宗商品、绿色转型”攻势。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主线二：新能源汽车/农机（时风）</w:t>
      </w:r>
      <w:r>
        <w:rPr>
          <w:rFonts w:ascii="微软雅黑" w:hAnsi="微软雅黑" w:eastAsia="微软雅黑"/>
          <w:b w:val="0"/>
          <w:color w:val="1F2A44"/>
          <w:sz w:val="21"/>
        </w:rPr>
        <w:t>“新能源车+75.9%、高端农机”强链。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主线三：轴承/装备制造（临清）</w:t>
      </w:r>
      <w:r>
        <w:rPr>
          <w:rFonts w:ascii="微软雅黑" w:hAnsi="微软雅黑" w:eastAsia="微软雅黑"/>
          <w:b w:val="0"/>
          <w:color w:val="1F2A44"/>
          <w:sz w:val="21"/>
        </w:rPr>
        <w:t>“轴承之城、装备+22.5%”。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主线四：农业强市/食品加工</w:t>
      </w:r>
      <w:r>
        <w:rPr>
          <w:rFonts w:ascii="微软雅黑" w:hAnsi="微软雅黑" w:eastAsia="微软雅黑"/>
          <w:b w:val="0"/>
          <w:color w:val="1F2A44"/>
          <w:sz w:val="21"/>
        </w:rPr>
        <w:t>“粮食589万吨、蔬菜/肉蛋、预制菜”。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主线五：江北水城/人口/外贸</w:t>
      </w:r>
      <w:r>
        <w:rPr>
          <w:rFonts w:ascii="微软雅黑" w:hAnsi="微软雅黑" w:eastAsia="微软雅黑"/>
          <w:b w:val="0"/>
          <w:color w:val="1F2A44"/>
          <w:sz w:val="21"/>
        </w:rPr>
        <w:t>“文旅运河、外贸破700亿、聚人”。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十四、最终结论：聊城在“江北水城+制造贸易+农业强市”里的增长逻辑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聊城是“江北水城、工业制造之都、农业大市”</w:t>
      </w:r>
      <w:r>
        <w:rPr>
          <w:rFonts w:ascii="微软雅黑" w:hAnsi="微软雅黑" w:eastAsia="微软雅黑"/>
          <w:b w:val="0"/>
          <w:color w:val="1F2A44"/>
          <w:sz w:val="22"/>
        </w:rPr>
        <w:t>：GDP 3304.15亿/+5.6%、规上+7.7%、进出口破700亿（+15.5%）、农林牧渔854.67亿。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聊城不是“只有水城”——它是</w:t>
      </w:r>
      <w:r>
        <w:rPr>
          <w:rFonts w:ascii="微软雅黑" w:hAnsi="微软雅黑" w:eastAsia="微软雅黑"/>
          <w:b/>
          <w:color w:val="1F2A44"/>
          <w:sz w:val="22"/>
        </w:rPr>
        <w:t>钢铁铜铝（信发/祥光）+汽车农机+轴承+化工+农业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的复合，靠“工业+外贸+农业”驱动；但地产、投资、CPI弱。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聊城是“江北水城、中国轴承之乡、制造农业强市”；观察它先看“金属/汽车/制造、进出口、农业”，再看“地产、投资、财收”。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它是“工业外贸强、投资地产弱”的山东样本。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《2025年聊城市人民政府工作报告》（2025年2月，2025年目标、2024年回顾+5.5%）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《2025年聊城市国民经济和社会发展统计公报》（聊城市统计局，2026-03-27，2025年实际）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《2026年聊城市政府工作报告》（2026年，复盘+2026年目标）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聊城市人民政府/统计局（liaocheng.gov.cn）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规模以上工业（钢铁/有色/汽车/轴承）增速。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进出口/进口原料/加工贸易。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农林牧渔/粮食/食品农业。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社零/金银珠宝/以旧换新。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新兴制造/高端、R&amp;D。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财收/税收占比/民生%。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常住/城镇化/热补。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CPI/存贷款/可再生能源。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