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0"/>
        <w:jc w:val="center"/>
      </w:pPr>
      <w:r>
        <w:rPr>
          <w:rFonts w:ascii="微软雅黑" w:hAnsi="微软雅黑" w:eastAsia="微软雅黑"/>
          <w:b/>
          <w:color w:val="1F2A44"/>
          <w:sz w:val="48"/>
        </w:rPr>
        <w:t>长春市2025年政府工作报告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/>
          <w:color w:val="B01E2E"/>
          <w:sz w:val="32"/>
        </w:rPr>
        <w:t>深度研究与“容易被忽视的细节”分析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 w:val="0"/>
          <w:color w:val="596069"/>
          <w:sz w:val="24"/>
        </w:rPr>
        <w:t>从“汽车城、全球整车龙头、高端装备、冰雪经济与光电信息”重新理解长春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color w:val="B01E2E"/>
          <w:sz w:val="22"/>
        </w:rPr>
        <w:t>━━━━━━━━━━━━━━━━━━━━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研究对象：2025年长春市政府工作报告及同期财政、国民经济和社会发展统计资料、2026年官方复盘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标定日期：2026-08-13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目　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执行摘要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一、研究口径与阅读方法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二、先看长春的特殊底盘：汽车城、装备制造、粮仓与冰雪文旅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三、最关键的宏观错位：GDP破8000亿但弱于目标，工业强、投资与进出口双降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四、容易被忽视、但信号很重的细节（15条）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五、2025年GDP目标 vs 实际：对照表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六、2025年增长是谁撑起来的？（结构归因）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七、预算与财政的“含金量”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八、民生底账：人口、收入与城乡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九、城镇与农村：格局与均衡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十、人口流入与流出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十一、物价与货币环境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十二、区域一体化：长春在“长春都市圈+中韩(长春)示范+东北亚”里的位置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十三、未来5—10年最值得观察的五条主线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十四、最终结论：长春在“汽车+装备+光电+冰雪”里的增长逻辑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附录A：主要资料来源与核验路径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附录B：建议建立的年度跟踪仪表盘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核心判断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2025年长春最显著的是“GDP 8005.59亿元、增长4.9%（低于5.5%目标）、三产占58.8%”、“规上工业增加值+6.2%（汽车制造业+3.4%）”、“进出口1057.92亿元/-17.0%”、“常住人口910.50万、城镇化69.2%”。这说明长春在“汽车+装备+光电+冰雪”驱动下保持正增长，但</w:t>
      </w:r>
      <w:r>
        <w:rPr>
          <w:rFonts w:ascii="微软雅黑" w:hAnsi="微软雅黑" w:eastAsia="微软雅黑"/>
          <w:b/>
          <w:color w:val="1F2A44"/>
          <w:sz w:val="22"/>
        </w:rPr>
        <w:t>投资-16.5%、进出口-17%双降</w:t>
      </w:r>
      <w:r>
        <w:rPr>
          <w:rFonts w:ascii="微软雅黑" w:hAnsi="微软雅黑" w:eastAsia="微软雅黑"/>
          <w:b w:val="0"/>
          <w:color w:val="1F2A44"/>
          <w:sz w:val="22"/>
        </w:rPr>
        <w:t>是显著压力。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把2025年目标（GDP+5.5%以上/规上+7%/固投+5%/社零+6%）、2025年统计、2026年前瞻一起看，长春是“东北振兴+汽车强市”路径：</w:t>
      </w:r>
      <w:r>
        <w:rPr>
          <w:rFonts w:ascii="微软雅黑" w:hAnsi="微软雅黑" w:eastAsia="微软雅黑"/>
          <w:b/>
          <w:color w:val="1F2A44"/>
          <w:sz w:val="22"/>
        </w:rPr>
        <w:t>汽车（红旗/新能源）、冰雪经济、光电</w:t>
      </w:r>
      <w:r>
        <w:rPr>
          <w:rFonts w:ascii="微软雅黑" w:hAnsi="微软雅黑" w:eastAsia="微软雅黑"/>
          <w:b w:val="0"/>
          <w:color w:val="1F2A44"/>
          <w:sz w:val="22"/>
        </w:rPr>
        <w:t>是亮点，但投资与开放偏弱。总量8005亿居吉林第一、占全省约一半。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最容易记住的一句话：</w:t>
      </w:r>
      <w:r>
        <w:rPr>
          <w:rFonts w:ascii="微软雅黑" w:hAnsi="微软雅黑" w:eastAsia="微软雅黑"/>
          <w:b/>
          <w:color w:val="1F2A44"/>
          <w:sz w:val="22"/>
        </w:rPr>
        <w:t>长春是“中国汽车城+高端装备+冰雪文旅”的吉林省会，靠“整车（红旗/大众）、新能源汽车、光电信息、冰雪旅游”增长。</w:t>
      </w:r>
      <w:r>
        <w:rPr>
          <w:rFonts w:ascii="微软雅黑" w:hAnsi="微软雅黑" w:eastAsia="微软雅黑"/>
          <w:b w:val="0"/>
          <w:color w:val="1F2A44"/>
          <w:sz w:val="22"/>
        </w:rPr>
        <w:t>观察长春，与其只看“GDP 8005亿”，不如看“新能源汽车产量+25.6%、红旗销量破45万、冰雪游客2.3亿/+33%、光电产业破1000亿”。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一、研究口径与阅读方法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本报告以“长春市2025年政府工作报告（2025年1月，王子联作）”为起点，把“2025年GDP目标（5.5%以上）”与“2025年国民经济和社会发展统计公报实际值（8005.59亿元/+4.9%）”并置对照，再用2026年政府工作报告的复盘作事后验证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重点阅读三类证据：</w:t>
      </w:r>
      <w:r>
        <w:rPr>
          <w:rFonts w:ascii="微软雅黑" w:hAnsi="微软雅黑" w:eastAsia="微软雅黑"/>
          <w:b/>
          <w:color w:val="1F2A44"/>
          <w:sz w:val="22"/>
        </w:rPr>
        <w:t>一是指标目标是否达标</w:t>
      </w:r>
      <w:r>
        <w:rPr>
          <w:rFonts w:ascii="微软雅黑" w:hAnsi="微软雅黑" w:eastAsia="微软雅黑"/>
          <w:b w:val="0"/>
          <w:color w:val="1F2A44"/>
          <w:sz w:val="22"/>
        </w:rPr>
        <w:t>；</w:t>
      </w:r>
      <w:r>
        <w:rPr>
          <w:rFonts w:ascii="微软雅黑" w:hAnsi="微软雅黑" w:eastAsia="微软雅黑"/>
          <w:b/>
          <w:color w:val="1F2A44"/>
          <w:sz w:val="22"/>
        </w:rPr>
        <w:t>二是结构（谁贡献增长）是否匹配目标叙事</w:t>
      </w:r>
      <w:r>
        <w:rPr>
          <w:rFonts w:ascii="微软雅黑" w:hAnsi="微软雅黑" w:eastAsia="微软雅黑"/>
          <w:b w:val="0"/>
          <w:color w:val="1F2A44"/>
          <w:sz w:val="22"/>
        </w:rPr>
        <w:t>；</w:t>
      </w:r>
      <w:r>
        <w:rPr>
          <w:rFonts w:ascii="微软雅黑" w:hAnsi="微软雅黑" w:eastAsia="微软雅黑"/>
          <w:b/>
          <w:color w:val="1F2A44"/>
          <w:sz w:val="22"/>
        </w:rPr>
        <w:t>三是官方复盘如何自评、承认问题</w:t>
      </w:r>
      <w:r>
        <w:rPr>
          <w:rFonts w:ascii="微软雅黑" w:hAnsi="微软雅黑" w:eastAsia="微软雅黑"/>
          <w:b w:val="0"/>
          <w:color w:val="1F2A44"/>
          <w:sz w:val="22"/>
        </w:rPr>
        <w:t>。统计口径以统计公报与市财政局科为准。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统一采用“同比增长%”（GDP为不变价），财政与居民收入多为名义值，文中按原口径转录、不逐项换算。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二、先看长春的特殊底盘：汽车城、装备制造、粮仓与冰雪文旅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区位与身份</w:t>
      </w:r>
      <w:r>
        <w:rPr>
          <w:rFonts w:ascii="微软雅黑" w:hAnsi="微软雅黑" w:eastAsia="微软雅黑"/>
          <w:b w:val="0"/>
          <w:color w:val="1F2A44"/>
          <w:sz w:val="22"/>
        </w:rPr>
        <w:t>：长春是吉林省会、副省级城市、中国“汽车城”（一汽所在地），老工业基地+国家全面振兴东北核心，是长春都市圈、中韩(长春)国际合作示范、长吉图先导区承载地。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产业底盘</w:t>
      </w:r>
      <w:r>
        <w:rPr>
          <w:rFonts w:ascii="微软雅黑" w:hAnsi="微软雅黑" w:eastAsia="微软雅黑"/>
          <w:b w:val="0"/>
          <w:color w:val="1F2A44"/>
          <w:sz w:val="22"/>
        </w:rPr>
        <w:t>：一是汽车（红旗/智能网联新能源、新能源汽车产量+25.6%、红旗销量破45万辆）；二是高端装备（氢能动车组、“吉林一号”卫星144颗）；三是光电信息（产业规模破1000亿）+医药健康（+10.2%）；四是冰雪经济/文旅（游客2.3亿/+33%）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农业底盘</w:t>
      </w:r>
      <w:r>
        <w:rPr>
          <w:rFonts w:ascii="微软雅黑" w:hAnsi="微软雅黑" w:eastAsia="微软雅黑"/>
          <w:b w:val="0"/>
          <w:color w:val="1F2A44"/>
          <w:sz w:val="22"/>
        </w:rPr>
        <w:t>：全国著名粮仓（玉米/水稻），粮食产量1329.15万吨。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人口底盘</w:t>
      </w:r>
      <w:r>
        <w:rPr>
          <w:rFonts w:ascii="微软雅黑" w:hAnsi="微软雅黑" w:eastAsia="微软雅黑"/>
          <w:b w:val="0"/>
          <w:color w:val="1F2A44"/>
          <w:sz w:val="22"/>
        </w:rPr>
        <w:t>：2025年末常住人口910.50万/+（城镇化69.15%、提高0.72pct），是东北最大人口城市之一。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市场与出口</w:t>
      </w:r>
      <w:r>
        <w:rPr>
          <w:rFonts w:ascii="微软雅黑" w:hAnsi="微软雅黑" w:eastAsia="微软雅黑"/>
          <w:b w:val="0"/>
          <w:color w:val="1F2A44"/>
          <w:sz w:val="22"/>
        </w:rPr>
        <w:t>：2025年社零2551.17亿/+3.9%；进出口1057.92亿/-17.0%（出口+1.4%、进口-23.8%）。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三、最关键的宏观错位：GDP破8000亿但弱于目标，工业强、投资与进出口双降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第一组错位</w:t>
      </w:r>
      <w:r>
        <w:rPr>
          <w:rFonts w:ascii="微软雅黑" w:hAnsi="微软雅黑" w:eastAsia="微软雅黑"/>
          <w:b w:val="0"/>
          <w:color w:val="1F2A44"/>
          <w:sz w:val="22"/>
        </w:rPr>
        <w:t>：2025年GDP目标5.5%以上，实际8005.59亿/+4.9%</w:t>
      </w:r>
      <w:r>
        <w:rPr>
          <w:rFonts w:ascii="微软雅黑" w:hAnsi="微软雅黑" w:eastAsia="微软雅黑"/>
          <w:b/>
          <w:color w:val="1F2A44"/>
          <w:sz w:val="22"/>
        </w:rPr>
        <w:t>低于目标0.6pct</w:t>
      </w:r>
      <w:r>
        <w:rPr>
          <w:rFonts w:ascii="微软雅黑" w:hAnsi="微软雅黑" w:eastAsia="微软雅黑"/>
          <w:b w:val="0"/>
          <w:color w:val="1F2A44"/>
          <w:sz w:val="22"/>
        </w:rPr>
        <w:t>，但“十四五”连破两个千亿台阶、总量破8000亿；增速高于全国平均。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第二组错位</w:t>
      </w:r>
      <w:r>
        <w:rPr>
          <w:rFonts w:ascii="微软雅黑" w:hAnsi="微软雅黑" w:eastAsia="微软雅黑"/>
          <w:b w:val="0"/>
          <w:color w:val="1F2A44"/>
          <w:sz w:val="22"/>
        </w:rPr>
        <w:t>：规上工业增加值+6.2%（目标+7%略低）、工业增加值+7.6%；但</w:t>
      </w:r>
      <w:r>
        <w:rPr>
          <w:rFonts w:ascii="微软雅黑" w:hAnsi="微软雅黑" w:eastAsia="微软雅黑"/>
          <w:b/>
          <w:color w:val="1F2A44"/>
          <w:sz w:val="22"/>
        </w:rPr>
        <w:t>投资-16.5%、进出口-17.0%、房地产-23.5%</w:t>
      </w:r>
      <w:r>
        <w:rPr>
          <w:rFonts w:ascii="微软雅黑" w:hAnsi="微软雅黑" w:eastAsia="微软雅黑"/>
          <w:b w:val="0"/>
          <w:color w:val="1F2A44"/>
          <w:sz w:val="22"/>
        </w:rPr>
        <w:t>双降。“工业强、投资弱、外贸弱”。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第三组错位</w:t>
      </w:r>
      <w:r>
        <w:rPr>
          <w:rFonts w:ascii="微软雅黑" w:hAnsi="微软雅黑" w:eastAsia="微软雅黑"/>
          <w:b w:val="0"/>
          <w:color w:val="1F2A44"/>
          <w:sz w:val="22"/>
        </w:rPr>
        <w:t>：常住910.5万、跨市净流入6.42万（2025），但</w:t>
      </w:r>
      <w:r>
        <w:rPr>
          <w:rFonts w:ascii="微软雅黑" w:hAnsi="微软雅黑" w:eastAsia="微软雅黑"/>
          <w:b/>
          <w:color w:val="1F2A44"/>
          <w:sz w:val="22"/>
        </w:rPr>
        <w:t>自然增长率-4.87‰</w:t>
      </w:r>
      <w:r>
        <w:rPr>
          <w:rFonts w:ascii="微软雅黑" w:hAnsi="微软雅黑" w:eastAsia="微软雅黑"/>
          <w:b w:val="0"/>
          <w:color w:val="1F2A44"/>
          <w:sz w:val="22"/>
        </w:rPr>
        <w:t>（出生3.66‰&lt;死亡8.53‰）严重负自然增长，人口靠机械流入维持。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一句话：</w:t>
      </w:r>
      <w:r>
        <w:rPr>
          <w:rFonts w:ascii="微软雅黑" w:hAnsi="微软雅黑" w:eastAsia="微软雅黑"/>
          <w:b/>
          <w:color w:val="1F2A44"/>
          <w:sz w:val="22"/>
        </w:rPr>
        <w:t>长春是“汽车强、投资与外贸弱、人口自然负增长”的东北省会</w:t>
      </w:r>
      <w:r>
        <w:rPr>
          <w:rFonts w:ascii="微软雅黑" w:hAnsi="微软雅黑" w:eastAsia="微软雅黑"/>
          <w:b w:val="0"/>
          <w:color w:val="1F2A44"/>
          <w:sz w:val="22"/>
        </w:rPr>
        <w:t>——靠汽车/装备与冰雪维持增长。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四、容易被忽视、但信号很重的细节（15条）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1. </w:t>
      </w:r>
      <w:r>
        <w:rPr>
          <w:rFonts w:ascii="微软雅黑" w:hAnsi="微软雅黑" w:eastAsia="微软雅黑"/>
          <w:b/>
          <w:color w:val="1F2A44"/>
          <w:sz w:val="21"/>
        </w:rPr>
        <w:t>GDP破8000亿</w:t>
      </w:r>
      <w:r>
        <w:rPr>
          <w:rFonts w:ascii="微软雅黑" w:hAnsi="微软雅黑" w:eastAsia="微软雅黑"/>
          <w:b w:val="0"/>
          <w:color w:val="1F2A44"/>
          <w:sz w:val="21"/>
        </w:rPr>
        <w:t>：8005.59亿/+4.9%、“十四五”跨两个千亿台阶。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2. </w:t>
      </w:r>
      <w:r>
        <w:rPr>
          <w:rFonts w:ascii="微软雅黑" w:hAnsi="微软雅黑" w:eastAsia="微软雅黑"/>
          <w:b/>
          <w:color w:val="1F2A44"/>
          <w:sz w:val="21"/>
        </w:rPr>
        <w:t>汽车制造业+3.4%</w:t>
      </w:r>
      <w:r>
        <w:rPr>
          <w:rFonts w:ascii="微软雅黑" w:hAnsi="微软雅黑" w:eastAsia="微软雅黑"/>
          <w:b w:val="0"/>
          <w:color w:val="1F2A44"/>
          <w:sz w:val="21"/>
        </w:rPr>
        <w:t>：慢于全行业，整车资源整合/新能源转型承压。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3. </w:t>
      </w:r>
      <w:r>
        <w:rPr>
          <w:rFonts w:ascii="微软雅黑" w:hAnsi="微软雅黑" w:eastAsia="微软雅黑"/>
          <w:b/>
          <w:color w:val="1F2A44"/>
          <w:sz w:val="21"/>
        </w:rPr>
        <w:t>新能源汽车产量+25.6%、红旗45万辆</w:t>
      </w:r>
      <w:r>
        <w:rPr>
          <w:rFonts w:ascii="微软雅黑" w:hAnsi="微软雅黑" w:eastAsia="微软雅黑"/>
          <w:b w:val="0"/>
          <w:color w:val="1F2A44"/>
          <w:sz w:val="21"/>
        </w:rPr>
        <w:t>：智能网联新能源主线。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4. </w:t>
      </w:r>
      <w:r>
        <w:rPr>
          <w:rFonts w:ascii="微软雅黑" w:hAnsi="微软雅黑" w:eastAsia="微软雅黑"/>
          <w:b/>
          <w:color w:val="1F2A44"/>
          <w:sz w:val="21"/>
        </w:rPr>
        <w:t>中成药+0.8%、医药健康+10.2%</w:t>
      </w:r>
      <w:r>
        <w:rPr>
          <w:rFonts w:ascii="微软雅黑" w:hAnsi="微软雅黑" w:eastAsia="微软雅黑"/>
          <w:b w:val="0"/>
          <w:color w:val="1F2A44"/>
          <w:sz w:val="21"/>
        </w:rPr>
        <w:t>：医药产业回暖。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5. </w:t>
      </w:r>
      <w:r>
        <w:rPr>
          <w:rFonts w:ascii="微软雅黑" w:hAnsi="微软雅黑" w:eastAsia="微软雅黑"/>
          <w:b/>
          <w:color w:val="1F2A44"/>
          <w:sz w:val="21"/>
        </w:rPr>
        <w:t>光电信息破1000亿、“吉林一号”144颗</w:t>
      </w:r>
      <w:r>
        <w:rPr>
          <w:rFonts w:ascii="微软雅黑" w:hAnsi="微软雅黑" w:eastAsia="微软雅黑"/>
          <w:b w:val="0"/>
          <w:color w:val="1F2A44"/>
          <w:sz w:val="21"/>
        </w:rPr>
        <w:t>：新质生产力。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6. </w:t>
      </w:r>
      <w:r>
        <w:rPr>
          <w:rFonts w:ascii="微软雅黑" w:hAnsi="微软雅黑" w:eastAsia="微软雅黑"/>
          <w:b/>
          <w:color w:val="1F2A44"/>
          <w:sz w:val="21"/>
        </w:rPr>
        <w:t>固定资产-16.5%</w:t>
      </w:r>
      <w:r>
        <w:rPr>
          <w:rFonts w:ascii="微软雅黑" w:hAnsi="微软雅黑" w:eastAsia="微软雅黑"/>
          <w:b w:val="0"/>
          <w:color w:val="1F2A44"/>
          <w:sz w:val="21"/>
        </w:rPr>
        <w:t>：工业投资-9.2%、房地产-23.5%塌陷。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7. </w:t>
      </w:r>
      <w:r>
        <w:rPr>
          <w:rFonts w:ascii="微软雅黑" w:hAnsi="微软雅黑" w:eastAsia="微软雅黑"/>
          <w:b/>
          <w:color w:val="1F2A44"/>
          <w:sz w:val="21"/>
        </w:rPr>
        <w:t>进出口-17.0%（出口+1.4%/进口-23.8%）</w:t>
      </w:r>
      <w:r>
        <w:rPr>
          <w:rFonts w:ascii="微软雅黑" w:hAnsi="微软雅黑" w:eastAsia="微软雅黑"/>
          <w:b w:val="0"/>
          <w:color w:val="1F2A44"/>
          <w:sz w:val="21"/>
        </w:rPr>
        <w:t>：开放承压、进口回落。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8. </w:t>
      </w:r>
      <w:r>
        <w:rPr>
          <w:rFonts w:ascii="微软雅黑" w:hAnsi="微软雅黑" w:eastAsia="微软雅黑"/>
          <w:b/>
          <w:color w:val="1F2A44"/>
          <w:sz w:val="21"/>
        </w:rPr>
        <w:t>冰雪游客2.3亿/+33%、总花费3609.9亿/+19.3%</w:t>
      </w:r>
      <w:r>
        <w:rPr>
          <w:rFonts w:ascii="微软雅黑" w:hAnsi="微软雅黑" w:eastAsia="微软雅黑"/>
          <w:b w:val="0"/>
          <w:color w:val="1F2A44"/>
          <w:sz w:val="21"/>
        </w:rPr>
        <w:t>：冰雪经济爆发。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9. </w:t>
      </w:r>
      <w:r>
        <w:rPr>
          <w:rFonts w:ascii="微软雅黑" w:hAnsi="微软雅黑" w:eastAsia="微软雅黑"/>
          <w:b/>
          <w:color w:val="1F2A44"/>
          <w:sz w:val="21"/>
        </w:rPr>
        <w:t>工业利润401.11亿/-20.1%</w:t>
      </w:r>
      <w:r>
        <w:rPr>
          <w:rFonts w:ascii="微软雅黑" w:hAnsi="微软雅黑" w:eastAsia="微软雅黑"/>
          <w:b w:val="0"/>
          <w:color w:val="1F2A44"/>
          <w:sz w:val="21"/>
        </w:rPr>
        <w:t>：盈利承压但总盘大。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10. </w:t>
      </w:r>
      <w:r>
        <w:rPr>
          <w:rFonts w:ascii="微软雅黑" w:hAnsi="微软雅黑" w:eastAsia="微软雅黑"/>
          <w:b/>
          <w:color w:val="1F2A44"/>
          <w:sz w:val="21"/>
        </w:rPr>
        <w:t>常住910.5万、城镇化69.2%</w:t>
      </w:r>
      <w:r>
        <w:rPr>
          <w:rFonts w:ascii="微软雅黑" w:hAnsi="微软雅黑" w:eastAsia="微软雅黑"/>
          <w:b w:val="0"/>
          <w:color w:val="1F2A44"/>
          <w:sz w:val="21"/>
        </w:rPr>
        <w:t>：东北人口最大城市之一、净流入6.42万。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11. </w:t>
      </w:r>
      <w:r>
        <w:rPr>
          <w:rFonts w:ascii="微软雅黑" w:hAnsi="微软雅黑" w:eastAsia="微软雅黑"/>
          <w:b/>
          <w:color w:val="1F2A44"/>
          <w:sz w:val="21"/>
        </w:rPr>
        <w:t>收入：城镇44250元/+4.5%、农村23042元/+5.8%</w:t>
      </w:r>
      <w:r>
        <w:rPr>
          <w:rFonts w:ascii="微软雅黑" w:hAnsi="微软雅黑" w:eastAsia="微软雅黑"/>
          <w:b w:val="0"/>
          <w:color w:val="1F2A44"/>
          <w:sz w:val="21"/>
        </w:rPr>
        <w:t>，城乡1.92。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12. </w:t>
      </w:r>
      <w:r>
        <w:rPr>
          <w:rFonts w:ascii="微软雅黑" w:hAnsi="微软雅黑" w:eastAsia="微软雅黑"/>
          <w:b/>
          <w:color w:val="1F2A44"/>
          <w:sz w:val="21"/>
        </w:rPr>
        <w:t>CPI -0.1%</w:t>
      </w:r>
      <w:r>
        <w:rPr>
          <w:rFonts w:ascii="微软雅黑" w:hAnsi="微软雅黑" w:eastAsia="微软雅黑"/>
          <w:b w:val="0"/>
          <w:color w:val="1F2A44"/>
          <w:sz w:val="21"/>
        </w:rPr>
        <w:t>：低通胀。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13. </w:t>
      </w:r>
      <w:r>
        <w:rPr>
          <w:rFonts w:ascii="微软雅黑" w:hAnsi="微软雅黑" w:eastAsia="微软雅黑"/>
          <w:b/>
          <w:color w:val="1F2A44"/>
          <w:sz w:val="21"/>
        </w:rPr>
        <w:t>就业10.47万、农村转移100万</w:t>
      </w:r>
      <w:r>
        <w:rPr>
          <w:rFonts w:ascii="微软雅黑" w:hAnsi="微软雅黑" w:eastAsia="微软雅黑"/>
          <w:b w:val="0"/>
          <w:color w:val="1F2A44"/>
          <w:sz w:val="21"/>
        </w:rPr>
        <w:t>：就业稳兜底。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14. </w:t>
      </w:r>
      <w:r>
        <w:rPr>
          <w:rFonts w:ascii="微软雅黑" w:hAnsi="微软雅黑" w:eastAsia="微软雅黑"/>
          <w:b/>
          <w:color w:val="1F2A44"/>
          <w:sz w:val="21"/>
        </w:rPr>
        <w:t>地方财政收入424.17亿/+3.1%</w:t>
      </w:r>
      <w:r>
        <w:rPr>
          <w:rFonts w:ascii="微软雅黑" w:hAnsi="微软雅黑" w:eastAsia="微软雅黑"/>
          <w:b w:val="0"/>
          <w:color w:val="1F2A44"/>
          <w:sz w:val="21"/>
        </w:rPr>
        <w:t>：唯一“达标”的硬指标（+3%）。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15. </w:t>
      </w:r>
      <w:r>
        <w:rPr>
          <w:rFonts w:ascii="微软雅黑" w:hAnsi="微软雅黑" w:eastAsia="微软雅黑"/>
          <w:b/>
          <w:color w:val="1F2A44"/>
          <w:sz w:val="21"/>
        </w:rPr>
        <w:t>技术合同268亿、高新技术1361户</w:t>
      </w:r>
      <w:r>
        <w:rPr>
          <w:rFonts w:ascii="微软雅黑" w:hAnsi="微软雅黑" w:eastAsia="微软雅黑"/>
          <w:b w:val="0"/>
          <w:color w:val="1F2A44"/>
          <w:sz w:val="21"/>
        </w:rPr>
        <w:t>：科创但转化偏慢。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五、2025年GDP目标 vs 实际：对照表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417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2025年目标</w:t>
            </w:r>
          </w:p>
        </w:tc>
        <w:tc>
          <w:tcPr>
            <w:tcW w:type="dxa" w:w="2835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2025年实际</w:t>
            </w:r>
          </w:p>
        </w:tc>
        <w:tc>
          <w:tcPr>
            <w:tcW w:type="dxa" w:w="1757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是否达标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地区生产总值增速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5.5%以上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8005.59亿元/+4.9%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规上工业增加值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+7%以上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+6.2%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略低于目标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+5%以上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-16.5%（转负）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严重未达标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社会消费品零售总额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+6%以上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2551.17亿元/+3.9%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424.17亿元/+3.1%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城镇/农村人均可支配收入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高于经济增速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+4.5%/+5.8%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均低于GDP但接近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CPI涨幅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2%左右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-0.1%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偏低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简评</w:t>
      </w:r>
      <w:r>
        <w:rPr>
          <w:rFonts w:ascii="微软雅黑" w:hAnsi="微软雅黑" w:eastAsia="微软雅黑"/>
          <w:b w:val="0"/>
          <w:color w:val="1F2A44"/>
          <w:sz w:val="22"/>
        </w:rPr>
        <w:t>：2025年长春除“财政”外</w:t>
      </w:r>
      <w:r>
        <w:rPr>
          <w:rFonts w:ascii="微软雅黑" w:hAnsi="微软雅黑" w:eastAsia="微软雅黑"/>
          <w:b/>
          <w:color w:val="1F2A44"/>
          <w:sz w:val="22"/>
        </w:rPr>
        <w:t>几乎所有硬指标未达目标</w:t>
      </w:r>
      <w:r>
        <w:rPr>
          <w:rFonts w:ascii="微软雅黑" w:hAnsi="微软雅黑" w:eastAsia="微软雅黑"/>
          <w:b w:val="0"/>
          <w:color w:val="1F2A44"/>
          <w:sz w:val="22"/>
        </w:rPr>
        <w:t>；</w:t>
      </w:r>
      <w:r>
        <w:rPr>
          <w:rFonts w:ascii="微软雅黑" w:hAnsi="微软雅黑" w:eastAsia="微软雅黑"/>
          <w:b/>
          <w:color w:val="1F2A44"/>
          <w:sz w:val="22"/>
        </w:rPr>
        <w:t>投资-16.5%最惨</w:t>
      </w:r>
      <w:r>
        <w:rPr>
          <w:rFonts w:ascii="微软雅黑" w:hAnsi="微软雅黑" w:eastAsia="微软雅黑"/>
          <w:b w:val="0"/>
          <w:color w:val="1F2A44"/>
          <w:sz w:val="22"/>
        </w:rPr>
        <w:t>。汽车+冰雪是韧性来源，工业+6.2%接近目标。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六、2025年增长是谁撑起来的？（结构归因）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三大产业</w:t>
      </w:r>
      <w:r>
        <w:rPr>
          <w:rFonts w:ascii="微软雅黑" w:hAnsi="微软雅黑" w:eastAsia="微软雅黑"/>
          <w:b w:val="0"/>
          <w:color w:val="1F2A44"/>
          <w:sz w:val="22"/>
        </w:rPr>
        <w:t>：一产529.04亿/+4.5%、二产2766.17亿/+5.1%、三产4710.37亿/+4.7%；三产占GDP 58.8%。增长以三产+二产双轮。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工业</w:t>
      </w:r>
      <w:r>
        <w:rPr>
          <w:rFonts w:ascii="微软雅黑" w:hAnsi="微软雅黑" w:eastAsia="微软雅黑"/>
          <w:b w:val="0"/>
          <w:color w:val="1F2A44"/>
          <w:sz w:val="22"/>
        </w:rPr>
        <w:t>：工业增加值2315.74亿/+7.6%；规上+6.2%、制造业盈利394.83亿。</w:t>
      </w:r>
      <w:r>
        <w:rPr>
          <w:rFonts w:ascii="微软雅黑" w:hAnsi="微软雅黑" w:eastAsia="微软雅黑"/>
          <w:b/>
          <w:color w:val="1F2A44"/>
          <w:sz w:val="22"/>
        </w:rPr>
        <w:t>汽车制造+3.4%、农副食品+3.8%、电力热力+3.8%、电子+3.2%、通用设备+14.1%</w:t>
      </w:r>
      <w:r>
        <w:rPr>
          <w:rFonts w:ascii="微软雅黑" w:hAnsi="微软雅黑" w:eastAsia="微软雅黑"/>
          <w:b w:val="0"/>
          <w:color w:val="1F2A44"/>
          <w:sz w:val="22"/>
        </w:rPr>
        <w:t>；电气机械-29.5%、专用设备-4.4%、黑色金属-14.4%。工业利润总额401.11亿/-20.1%。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服务业</w:t>
      </w:r>
      <w:r>
        <w:rPr>
          <w:rFonts w:ascii="微软雅黑" w:hAnsi="微软雅黑" w:eastAsia="微软雅黑"/>
          <w:b w:val="0"/>
          <w:color w:val="1F2A44"/>
          <w:sz w:val="22"/>
        </w:rPr>
        <w:t>：批发零售+3.3%、其他服务+8.1%、金融-1.5%、交通+1.4%、房地产+1.7%。冰雪/文旅拉动其他服务业。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增长归因</w:t>
      </w:r>
      <w:r>
        <w:rPr>
          <w:rFonts w:ascii="微软雅黑" w:hAnsi="微软雅黑" w:eastAsia="微软雅黑"/>
          <w:b w:val="0"/>
          <w:color w:val="1F2A44"/>
          <w:sz w:val="22"/>
        </w:rPr>
        <w:t>：长春增长主要靠</w:t>
      </w:r>
      <w:r>
        <w:rPr>
          <w:rFonts w:ascii="微软雅黑" w:hAnsi="微软雅黑" w:eastAsia="微软雅黑"/>
          <w:b/>
          <w:color w:val="1F2A44"/>
          <w:sz w:val="22"/>
        </w:rPr>
        <w:t>工业（汽车/装备/光电/医药）+三产（其他服务/文旅/冰雪）+消费</w:t>
      </w:r>
      <w:r>
        <w:rPr>
          <w:rFonts w:ascii="微软雅黑" w:hAnsi="微软雅黑" w:eastAsia="微软雅黑"/>
          <w:b w:val="0"/>
          <w:color w:val="1F2A44"/>
          <w:sz w:val="22"/>
        </w:rPr>
        <w:t>；投资、进出口、地产为负。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七、预算与财政的“含金量”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2025年地方财政收入424.17亿元/+3.1%（达标目标+3%），税收264.87亿/+4.6%、非税159.30亿/+0.7%；地方财政支出1145.19亿/+8.4%。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结构性</w:t>
      </w:r>
      <w:r>
        <w:rPr>
          <w:rFonts w:ascii="微软雅黑" w:hAnsi="微软雅黑" w:eastAsia="微软雅黑"/>
          <w:b w:val="0"/>
          <w:color w:val="1F2A44"/>
          <w:sz w:val="22"/>
        </w:rPr>
        <w:t>：收入靠税收（+4.6%）、财政支出高增（+8.4%）、民生占大头；地方财政收入增速在副省级城市靠前。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含金量</w:t>
      </w:r>
      <w:r>
        <w:rPr>
          <w:rFonts w:ascii="微软雅黑" w:hAnsi="微软雅黑" w:eastAsia="微软雅黑"/>
          <w:b w:val="0"/>
          <w:color w:val="1F2A44"/>
          <w:sz w:val="22"/>
        </w:rPr>
        <w:t>：财政“收入稳增、税收强、民生支出高”，是长春少数“达标”亮点；但靠传统车税与转移支付支撑，自主财源仍依赖汽车为主。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八、民生底账：人口、收入与城乡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常住人口910.50万/+（跨市净流入6.42万）、城镇化率69.15%（提高0.72pct）；出生率3.66‰/死亡率8.53‰，</w:t>
      </w:r>
      <w:r>
        <w:rPr>
          <w:rFonts w:ascii="微软雅黑" w:hAnsi="微软雅黑" w:eastAsia="微软雅黑"/>
          <w:b/>
          <w:color w:val="1F2A44"/>
          <w:sz w:val="22"/>
        </w:rPr>
        <w:t>自然增长率-4.87‰</w:t>
      </w:r>
      <w:r>
        <w:rPr>
          <w:rFonts w:ascii="微软雅黑" w:hAnsi="微软雅黑" w:eastAsia="微软雅黑"/>
          <w:b w:val="0"/>
          <w:color w:val="1F2A44"/>
          <w:sz w:val="22"/>
        </w:rPr>
        <w:t>。收入：</w:t>
      </w:r>
      <w:r>
        <w:rPr>
          <w:rFonts w:ascii="微软雅黑" w:hAnsi="微软雅黑" w:eastAsia="微软雅黑"/>
          <w:b/>
          <w:color w:val="1F2A44"/>
          <w:sz w:val="22"/>
        </w:rPr>
        <w:t>城镇44250元/+4.5%、农村23042元/+5.8%</w:t>
      </w:r>
      <w:r>
        <w:rPr>
          <w:rFonts w:ascii="微软雅黑" w:hAnsi="微软雅黑" w:eastAsia="微软雅黑"/>
          <w:b w:val="0"/>
          <w:color w:val="1F2A44"/>
          <w:sz w:val="22"/>
        </w:rPr>
        <w:t>，城乡比1.92。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就业：城镇新增就业10.47万、农村转移100.06万。消费支出、医保覆盖广。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民生结论</w:t>
      </w:r>
      <w:r>
        <w:rPr>
          <w:rFonts w:ascii="微软雅黑" w:hAnsi="微软雅黑" w:eastAsia="微软雅黑"/>
          <w:b w:val="0"/>
          <w:color w:val="1F2A44"/>
          <w:sz w:val="22"/>
        </w:rPr>
        <w:t>：收入农村快于城镇、城乡差距约1.92；人口自然严重负增长、靠机械流入维持总量；就业兜底实。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九、城镇与农村：格局与均衡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长春城镇化率69.2%（较全国低），中心城区（朝阳/南关/高新/新区）承载汽车/金融/光电；县域（榆树、农安、德惠）是重要粮仓（玉米/水稻）。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城乡收入比1.92（差距适中、较均衡），农村收入快于城镇、依托粮仓与劳务；乡村振兴与“黑土地”。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十、人口流入与流出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长春常住910.5万、跨市净流入6.42万（2025），但</w:t>
      </w:r>
      <w:r>
        <w:rPr>
          <w:rFonts w:ascii="微软雅黑" w:hAnsi="微软雅黑" w:eastAsia="微软雅黑"/>
          <w:b/>
          <w:color w:val="1F2A44"/>
          <w:sz w:val="22"/>
        </w:rPr>
        <w:t>自然-4.87‰</w:t>
      </w:r>
      <w:r>
        <w:rPr>
          <w:rFonts w:ascii="微软雅黑" w:hAnsi="微软雅黑" w:eastAsia="微软雅黑"/>
          <w:b w:val="0"/>
          <w:color w:val="1F2A44"/>
          <w:sz w:val="22"/>
        </w:rPr>
        <w:t>，增长依赖机械流入（高校+汽车/装备/光电就业+新市民）。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流入</w:t>
      </w:r>
      <w:r>
        <w:rPr>
          <w:rFonts w:ascii="微软雅黑" w:hAnsi="微软雅黑" w:eastAsia="微软雅黑"/>
          <w:b w:val="0"/>
          <w:color w:val="1F2A44"/>
          <w:sz w:val="22"/>
        </w:rPr>
        <w:t>：高校（吉林大学等）+汽车/光电/冰雪+留学生留驻；</w:t>
      </w:r>
      <w:r>
        <w:rPr>
          <w:rFonts w:ascii="微软雅黑" w:hAnsi="微软雅黑" w:eastAsia="微软雅黑"/>
          <w:b/>
          <w:color w:val="1F2A44"/>
          <w:sz w:val="22"/>
        </w:rPr>
        <w:t>流出</w:t>
      </w:r>
      <w:r>
        <w:rPr>
          <w:rFonts w:ascii="微软雅黑" w:hAnsi="微软雅黑" w:eastAsia="微软雅黑"/>
          <w:b w:val="0"/>
          <w:color w:val="1F2A44"/>
          <w:sz w:val="22"/>
        </w:rPr>
        <w:t>：东北青壮年/轻劳动外迁。净流入为正，但人口结构老龄（60+比重高）是长期压力。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十一、物价与货币环境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2025年长春CPI</w:t>
      </w:r>
      <w:r>
        <w:rPr>
          <w:rFonts w:ascii="微软雅黑" w:hAnsi="微软雅黑" w:eastAsia="微软雅黑"/>
          <w:b/>
          <w:color w:val="1F2A44"/>
          <w:sz w:val="22"/>
        </w:rPr>
        <w:t>下降0.1%</w:t>
      </w:r>
      <w:r>
        <w:rPr>
          <w:rFonts w:ascii="微软雅黑" w:hAnsi="微软雅黑" w:eastAsia="微软雅黑"/>
          <w:b w:val="0"/>
          <w:color w:val="1F2A44"/>
          <w:sz w:val="22"/>
        </w:rPr>
        <w:t>（通缩），“五涨三降”（衣着+2%、食品-1.1%、交通通信-3.6%）。低通胀/微通缩。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金融：存款余额20903.53亿/比年初+757.70亿、贷款19191.25亿/+464.70亿。“宽中稳”。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十二、区域一体化：长春在“长春都市圈+中韩示范+长吉图”里的位置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长春是长春都市圈核心（已获批规划）、长吉图开发开放先导区、中韩(长春)国际合作示范区+长春新区。与“沈阳都市圈/京津冀”联动，面向“一带一路”、东北亚。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产业协同：汽车（一汽-京津冀-长春）、光电、绿色能源、现代农机等集群布局。长春是东三省“外向+都市圈”的核心城市。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十三、未来5—10年最值得观察的五条主线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1. </w:t>
      </w:r>
      <w:r>
        <w:rPr>
          <w:rFonts w:ascii="微软雅黑" w:hAnsi="微软雅黑" w:eastAsia="微软雅黑"/>
          <w:b/>
          <w:color w:val="1F2A44"/>
          <w:sz w:val="21"/>
        </w:rPr>
        <w:t>新能源汽车+智能网联</w:t>
      </w:r>
      <w:r>
        <w:rPr>
          <w:rFonts w:ascii="微软雅黑" w:hAnsi="微软雅黑" w:eastAsia="微软雅黑"/>
          <w:b w:val="0"/>
          <w:color w:val="1F2A44"/>
          <w:sz w:val="21"/>
        </w:rPr>
        <w:t>：红旗/大众新车型+新能源汽车产量+25.6%，2026目标+30%。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2. </w:t>
      </w:r>
      <w:r>
        <w:rPr>
          <w:rFonts w:ascii="微软雅黑" w:hAnsi="微软雅黑" w:eastAsia="微软雅黑"/>
          <w:b/>
          <w:color w:val="1F2A44"/>
          <w:sz w:val="21"/>
        </w:rPr>
        <w:t>高端装备+光电信息</w:t>
      </w:r>
      <w:r>
        <w:rPr>
          <w:rFonts w:ascii="微软雅黑" w:hAnsi="微软雅黑" w:eastAsia="微软雅黑"/>
          <w:b w:val="0"/>
          <w:color w:val="1F2A44"/>
          <w:sz w:val="21"/>
        </w:rPr>
        <w:t>：氢能动车组、“吉林一号”、光电破1000亿。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3. </w:t>
      </w:r>
      <w:r>
        <w:rPr>
          <w:rFonts w:ascii="微软雅黑" w:hAnsi="微软雅黑" w:eastAsia="微软雅黑"/>
          <w:b/>
          <w:color w:val="1F2A44"/>
          <w:sz w:val="21"/>
        </w:rPr>
        <w:t>冰雪经济+文旅</w:t>
      </w:r>
      <w:r>
        <w:rPr>
          <w:rFonts w:ascii="微软雅黑" w:hAnsi="微软雅黑" w:eastAsia="微软雅黑"/>
          <w:b w:val="0"/>
          <w:color w:val="1F2A44"/>
          <w:sz w:val="21"/>
        </w:rPr>
        <w:t>：瓦萨滑雪节、亚洲杯等，冰雪游客+33%。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4. </w:t>
      </w:r>
      <w:r>
        <w:rPr>
          <w:rFonts w:ascii="微软雅黑" w:hAnsi="微软雅黑" w:eastAsia="微软雅黑"/>
          <w:b/>
          <w:color w:val="1F2A44"/>
          <w:sz w:val="21"/>
        </w:rPr>
        <w:t>科创与“3转4强7新”</w:t>
      </w:r>
      <w:r>
        <w:rPr>
          <w:rFonts w:ascii="微软雅黑" w:hAnsi="微软雅黑" w:eastAsia="微软雅黑"/>
          <w:b w:val="0"/>
          <w:color w:val="1F2A44"/>
          <w:sz w:val="21"/>
        </w:rPr>
        <w:t>：科创基金300亿、医药健康、低空/具身智能。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5. </w:t>
      </w:r>
      <w:r>
        <w:rPr>
          <w:rFonts w:ascii="微软雅黑" w:hAnsi="微软雅黑" w:eastAsia="微软雅黑"/>
          <w:b/>
          <w:color w:val="1F2A44"/>
          <w:sz w:val="21"/>
        </w:rPr>
        <w:t>投资与开放修复</w:t>
      </w:r>
      <w:r>
        <w:rPr>
          <w:rFonts w:ascii="微软雅黑" w:hAnsi="微软雅黑" w:eastAsia="微软雅黑"/>
          <w:b w:val="0"/>
          <w:color w:val="1F2A44"/>
          <w:sz w:val="21"/>
        </w:rPr>
        <w:t>：固投-16.5%后能否靠都市圈/招商引资修复（2026目标1300项目）。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十四、最终结论：长春在“汽车+装备+光电+冰雪”里的增长逻辑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结论</w:t>
      </w:r>
      <w:r>
        <w:rPr>
          <w:rFonts w:ascii="微软雅黑" w:hAnsi="微软雅黑" w:eastAsia="微软雅黑"/>
          <w:b w:val="0"/>
          <w:color w:val="1F2A44"/>
          <w:sz w:val="22"/>
        </w:rPr>
        <w:t>：长春2025年的“真相”是——</w:t>
      </w:r>
      <w:r>
        <w:rPr>
          <w:rFonts w:ascii="微软雅黑" w:hAnsi="微软雅黑" w:eastAsia="微软雅黑"/>
          <w:b/>
          <w:color w:val="1F2A44"/>
          <w:sz w:val="22"/>
        </w:rPr>
        <w:t>GDP+4.9%（低于5.5%）、规上工业+6.2%、固投-16.5%、进出口-17%、人口自然-4.87‰、财政+3.1%</w:t>
      </w:r>
      <w:r>
        <w:rPr>
          <w:rFonts w:ascii="微软雅黑" w:hAnsi="微软雅黑" w:eastAsia="微软雅黑"/>
          <w:b w:val="0"/>
          <w:color w:val="1F2A44"/>
          <w:sz w:val="22"/>
        </w:rPr>
        <w:t>。它是“汽车强、冰雪火、但投资/外贸弱”的东北省会。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对趋势判断</w:t>
      </w:r>
      <w:r>
        <w:rPr>
          <w:rFonts w:ascii="微软雅黑" w:hAnsi="微软雅黑" w:eastAsia="微软雅黑"/>
          <w:b w:val="0"/>
          <w:color w:val="1F2A44"/>
          <w:sz w:val="22"/>
        </w:rPr>
        <w:t>：汽车+装备+光电+冰雪代表长春的“增长点”，投资/开放/人口代表“约束”。</w:t>
      </w:r>
      <w:r>
        <w:rPr>
          <w:rFonts w:ascii="微软雅黑" w:hAnsi="微软雅黑" w:eastAsia="微软雅黑"/>
          <w:b/>
          <w:color w:val="1F2A44"/>
          <w:sz w:val="22"/>
        </w:rPr>
        <w:t>新能源汽车/光电/冰雪</w:t>
      </w:r>
      <w:r>
        <w:rPr>
          <w:rFonts w:ascii="微软雅黑" w:hAnsi="微软雅黑" w:eastAsia="微软雅黑"/>
          <w:b w:val="0"/>
          <w:color w:val="1F2A44"/>
          <w:sz w:val="22"/>
        </w:rPr>
        <w:t>决定成色，</w:t>
      </w:r>
      <w:r>
        <w:rPr>
          <w:rFonts w:ascii="微软雅黑" w:hAnsi="微软雅黑" w:eastAsia="微软雅黑"/>
          <w:b/>
          <w:color w:val="1F2A44"/>
          <w:sz w:val="22"/>
        </w:rPr>
        <w:t>投资修复+创新转化</w:t>
      </w:r>
      <w:r>
        <w:rPr>
          <w:rFonts w:ascii="微软雅黑" w:hAnsi="微软雅黑" w:eastAsia="微软雅黑"/>
          <w:b w:val="0"/>
          <w:color w:val="1F2A44"/>
          <w:sz w:val="22"/>
        </w:rPr>
        <w:t>决定韧性。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若只看一个指标</w:t>
      </w:r>
      <w:r>
        <w:rPr>
          <w:rFonts w:ascii="微软雅黑" w:hAnsi="微软雅黑" w:eastAsia="微软雅黑"/>
          <w:b w:val="0"/>
          <w:color w:val="1F2A44"/>
          <w:sz w:val="22"/>
        </w:rPr>
        <w:t>：看</w:t>
      </w:r>
      <w:r>
        <w:rPr>
          <w:rFonts w:ascii="微软雅黑" w:hAnsi="微软雅黑" w:eastAsia="微软雅黑"/>
          <w:b/>
          <w:color w:val="1F2A44"/>
          <w:sz w:val="22"/>
        </w:rPr>
        <w:t>规上工业中的新能源汽车产量增速（+25.6%）+固定资产投资增速（-16.5%）</w:t>
      </w:r>
      <w:r>
        <w:rPr>
          <w:rFonts w:ascii="微软雅黑" w:hAnsi="微软雅黑" w:eastAsia="微软雅黑"/>
          <w:b w:val="0"/>
          <w:color w:val="1F2A44"/>
          <w:sz w:val="22"/>
        </w:rPr>
        <w:t>——长春是“汽车强、但投资缺口大”的老工业基地，能否依托汽车+光电+冰雪修复内需是其转型关键。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附录A：主要资料来源与核验路径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长春市人民政府《长春市人民政府2025年工作报告》（2025年1月）。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长春市统计局《2025年长春市国民经济和社会发展统计公报》（2026年5月）。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《2026年长春市政府工作报告》（2026年2月）及一图读懂。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吉林省2025年统计公报、长春统计年鉴交叉核验。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附录B：建议建立的年度跟踪仪表盘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GDP总量/增速 vs 全年目标（+/-百分点）。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规上工业增加值及分行业（汽车/新能源/光电/医药/装备）增速。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固定资产投资（总量/工业/基础设施/房地产）增速。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社会消费品零售总额、网络零售。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货物进出口（人民币）、出口、一汽出口。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地方财政收入/税收/非税、财政支出、民生占比。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常住人口、自然增长率、城镇化率、高校留长。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CPI/核心CPI、规上工业利润总额。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冰雪旅游游客/总花费、冰雪项目、入境游客。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新能源汽车产量、红旗销量、光电产业、“吉林一号”卫星。</w:t>
      </w:r>
    </w:p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