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Noto Sans CJK SC" w:hAnsi="Noto Sans CJK SC" w:eastAsia="Noto Sans CJK SC" w:cs="Noto Sans CJK SC"/>
          <w:b/>
          <w:color w:val="252525"/>
          <w:sz w:val="60"/>
        </w:rPr>
        <w:t>钢 斧 之 后</w:t>
      </w:r>
    </w:p>
    <w:p>
      <w:pPr>
        <w:spacing w:after="160"/>
        <w:jc w:val="center"/>
      </w:pPr>
      <w:r>
        <w:rPr>
          <w:rFonts w:ascii="Noto Serif CJK SC" w:hAnsi="Noto Serif CJK SC" w:eastAsia="Noto Serif CJK SC" w:cs="Noto Serif CJK SC"/>
          <w:b w:val="0"/>
          <w:color w:val="6B625D"/>
          <w:sz w:val="27"/>
        </w:rPr>
        <w:t>技术如何重写权力、制度与人的生活</w:t>
      </w:r>
    </w:p>
    <w:p>
      <w:pPr>
        <w:spacing w:before="1400" w:after="200"/>
        <w:jc w:val="center"/>
      </w:pPr>
      <w:r>
        <w:rPr>
          <w:rFonts w:ascii="Noto Sans CJK SC" w:hAnsi="Noto Sans CJK SC" w:eastAsia="Noto Sans CJK SC" w:cs="Noto Sans CJK SC"/>
          <w:b/>
          <w:color w:val="9A4F2B"/>
          <w:sz w:val="24"/>
        </w:rPr>
        <w:t>序  章</w:t>
      </w:r>
    </w:p>
    <w:p>
      <w:pPr>
        <w:spacing w:after="240"/>
        <w:jc w:val="center"/>
      </w:pPr>
      <w:r>
        <w:rPr>
          <w:rFonts w:ascii="Noto Sans CJK SC" w:hAnsi="Noto Sans CJK SC" w:eastAsia="Noto Sans CJK SC" w:cs="Noto Sans CJK SC"/>
          <w:b/>
          <w:color w:val="252525"/>
          <w:sz w:val="54"/>
        </w:rPr>
        <w:t>钢斧砍断的不是木头</w:t>
      </w:r>
    </w:p>
    <w:p>
      <w:pPr>
        <w:spacing w:after="640"/>
        <w:jc w:val="center"/>
      </w:pPr>
      <w:r>
        <w:rPr>
          <w:rFonts w:ascii="Noto Serif CJK SC" w:hAnsi="Noto Serif CJK SC" w:eastAsia="Noto Serif CJK SC" w:cs="Noto Serif CJK SC"/>
          <w:b w:val="0"/>
          <w:color w:val="6B625D"/>
          <w:sz w:val="30"/>
        </w:rPr>
        <w:t>为什么换一种工具，会动摇一种秩序？</w:t>
      </w:r>
    </w:p>
    <w:p>
      <w:pPr>
        <w:jc w:val="center"/>
      </w:pPr>
      <w:r>
        <w:rPr>
          <w:rFonts w:ascii="Noto Serif CJK SC" w:hAnsi="Noto Serif CJK SC" w:eastAsia="Noto Serif CJK SC" w:cs="Noto Serif CJK SC"/>
          <w:b w:val="0"/>
          <w:color w:val="9A4F2B"/>
          <w:sz w:val="26"/>
        </w:rPr>
        <w:t>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3"/>
      </w:tblGrid>
      <w:tr>
        <w:trPr>
          <w:cantSplit/>
        </w:trPr>
        <w:tc>
          <w:tcPr>
            <w:tcW w:type="dxa" w:w="9128"/>
            <w:shd w:fill="FAF8F5"/>
            <w:tcBorders>
              <w:top w:val="single" w:sz="5" w:color="C9B8AA"/>
              <w:bottom w:val="single" w:sz="5" w:color="C9B8AA"/>
            </w:tcBorders>
            <w:tcMar>
              <w:top w:w="240" w:type="dxa"/>
              <w:start w:w="400" w:type="dxa"/>
              <w:bottom w:w="240" w:type="dxa"/>
              <w:end w:w="400" w:type="dxa"/>
            </w:tcMar>
          </w:tcPr>
          <w:p>
            <w:pPr>
              <w:spacing w:line="336" w:lineRule="auto"/>
              <w:ind w:firstLine="0"/>
              <w:jc w:val="center"/>
            </w:pPr>
            <w:r>
              <w:rPr>
                <w:rFonts w:ascii="Noto Serif CJK SC" w:hAnsi="Noto Serif CJK SC" w:eastAsia="Noto Serif CJK SC" w:cs="Noto Serif CJK SC"/>
                <w:b/>
                <w:color w:val="252525"/>
                <w:sz w:val="23"/>
              </w:rPr>
              <w:t>真正改变历史的，不是工具本身变得更锋利，</w:t>
              <w:br/>
              <w:t>而是人们获得工具时，不再需要经过原来的人。</w:t>
            </w:r>
          </w:p>
        </w:tc>
      </w:tr>
    </w:tbl>
    <w:p>
      <w:pPr>
        <w:spacing w:before="1700"/>
        <w:jc w:val="center"/>
      </w:pPr>
      <w:r>
        <w:rPr>
          <w:rFonts w:ascii="Noto Sans CJK SC" w:hAnsi="Noto Sans CJK SC" w:eastAsia="Noto Sans CJK SC" w:cs="Noto Sans CJK SC"/>
          <w:b w:val="0"/>
          <w:color w:val="6B625D"/>
          <w:sz w:val="18"/>
        </w:rPr>
        <w:t>《钢斧之后》书稿 · 排版审阅版</w:t>
      </w:r>
    </w:p>
    <w:p>
      <w:r>
        <w:br w:type="page"/>
      </w:r>
    </w:p>
    <w:p>
      <w:pPr>
        <w:pStyle w:val="Heading1"/>
        <w:pBdr>
          <w:bottom w:val="single" w:sz="8" w:space="5" w:color="9A4F2B"/>
        </w:pBdr>
      </w:pPr>
      <w:r>
        <w:t>编辑提要</w:t>
      </w:r>
    </w:p>
    <w:p>
      <w:pPr>
        <w:ind w:firstLine="0"/>
      </w:pPr>
      <w:r>
        <w:rPr>
          <w:rFonts w:ascii="Noto Sans CJK SC" w:hAnsi="Noto Sans CJK SC" w:eastAsia="Noto Sans CJK SC" w:cs="Noto Sans CJK SC"/>
          <w:b/>
          <w:color w:val="9A4F2B"/>
          <w:sz w:val="22"/>
        </w:rPr>
        <w:t>备选标题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742"/>
        <w:gridCol w:w="4649"/>
      </w:tblGrid>
      <w:tr>
        <w:trPr>
          <w:tblHeader w:val="true"/>
          <w:cantSplit/>
        </w:trPr>
        <w:tc>
          <w:tcPr>
            <w:tcW w:type="dxa" w:w="3043"/>
            <w:shd w:fill="9A4F2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43"/>
            <w:shd w:fill="9A4F2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3043"/>
            <w:shd w:fill="9A4F2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问题意识</w:t>
            </w:r>
          </w:p>
        </w:tc>
      </w:tr>
      <w:tr>
        <w:trPr>
          <w:cantSplit/>
        </w:trPr>
        <w:tc>
          <w:tcPr>
            <w:tcW w:type="dxa" w:w="680"/>
            <w:tcMar>
              <w:top w:w="130" w:type="dxa"/>
              <w:start w:w="160" w:type="dxa"/>
              <w:bottom w:w="130" w:type="dxa"/>
              <w:end w:w="160" w:type="dxa"/>
            </w:tcMar>
            <w:shd w:fill="FAF8F5"/>
            <w:tcBorders>
              <w:bottom w:val="single" w:sz="3" w:color="DDD2CA"/>
            </w:tcBorders>
          </w:tcPr>
          <w:p>
            <w:pPr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9"/>
              </w:rPr>
              <w:t>01</w:t>
            </w:r>
          </w:p>
        </w:tc>
        <w:tc>
          <w:tcPr>
            <w:tcW w:type="dxa" w:w="3742"/>
            <w:tcMar>
              <w:top w:w="130" w:type="dxa"/>
              <w:start w:w="160" w:type="dxa"/>
              <w:bottom w:w="130" w:type="dxa"/>
              <w:end w:w="160" w:type="dxa"/>
            </w:tcMar>
            <w:shd w:fill="FAF8F5"/>
            <w:tcBorders>
              <w:bottom w:val="single" w:sz="3" w:color="DDD2CA"/>
            </w:tcBorders>
          </w:tcPr>
          <w:p>
            <w:pPr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color w:val="252525"/>
                <w:sz w:val="19"/>
              </w:rPr>
              <w:t>《钢斧砍断的不是木头》</w:t>
            </w:r>
          </w:p>
        </w:tc>
        <w:tc>
          <w:tcPr>
            <w:tcW w:type="dxa" w:w="4649"/>
            <w:tcMar>
              <w:top w:w="130" w:type="dxa"/>
              <w:start w:w="160" w:type="dxa"/>
              <w:bottom w:w="130" w:type="dxa"/>
              <w:end w:w="160" w:type="dxa"/>
            </w:tcMar>
            <w:shd w:fill="FAF8F5"/>
            <w:tcBorders>
              <w:bottom w:val="single" w:sz="3" w:color="DDD2CA"/>
            </w:tcBorders>
          </w:tcPr>
          <w:p>
            <w:pPr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52525"/>
                <w:sz w:val="19"/>
              </w:rPr>
              <w:t>一种工具如何使旧权威失去用处</w:t>
            </w:r>
          </w:p>
        </w:tc>
      </w:tr>
      <w:tr>
        <w:trPr>
          <w:cantSplit/>
        </w:trPr>
        <w:tc>
          <w:tcPr>
            <w:tcW w:type="dxa" w:w="680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bottom w:val="single" w:sz="3" w:color="DDD2CA"/>
            </w:tcBorders>
          </w:tcPr>
          <w:p>
            <w:pPr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9"/>
              </w:rPr>
              <w:t>02</w:t>
            </w:r>
          </w:p>
        </w:tc>
        <w:tc>
          <w:tcPr>
            <w:tcW w:type="dxa" w:w="3742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bottom w:val="single" w:sz="3" w:color="DDD2CA"/>
            </w:tcBorders>
          </w:tcPr>
          <w:p>
            <w:pPr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color w:val="252525"/>
                <w:sz w:val="19"/>
              </w:rPr>
              <w:t>《当女人第一次说“我的斧头”》</w:t>
            </w:r>
          </w:p>
        </w:tc>
        <w:tc>
          <w:tcPr>
            <w:tcW w:type="dxa" w:w="464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bottom w:val="single" w:sz="3" w:color="DDD2CA"/>
            </w:tcBorders>
          </w:tcPr>
          <w:p>
            <w:pPr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52525"/>
                <w:sz w:val="19"/>
              </w:rPr>
              <w:t>所有权怎样改写社会关系</w:t>
            </w:r>
          </w:p>
        </w:tc>
      </w:tr>
      <w:tr>
        <w:trPr>
          <w:cantSplit/>
        </w:trPr>
        <w:tc>
          <w:tcPr>
            <w:tcW w:type="dxa" w:w="680"/>
            <w:tcMar>
              <w:top w:w="130" w:type="dxa"/>
              <w:start w:w="160" w:type="dxa"/>
              <w:bottom w:w="130" w:type="dxa"/>
              <w:end w:w="160" w:type="dxa"/>
            </w:tcMar>
            <w:shd w:fill="FAF8F5"/>
            <w:tcBorders>
              <w:bottom w:val="single" w:sz="3" w:color="DDD2CA"/>
            </w:tcBorders>
          </w:tcPr>
          <w:p>
            <w:pPr>
              <w:ind w:firstLine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52525"/>
                <w:sz w:val="19"/>
              </w:rPr>
              <w:t>03</w:t>
            </w:r>
          </w:p>
        </w:tc>
        <w:tc>
          <w:tcPr>
            <w:tcW w:type="dxa" w:w="3742"/>
            <w:tcMar>
              <w:top w:w="130" w:type="dxa"/>
              <w:start w:w="160" w:type="dxa"/>
              <w:bottom w:w="130" w:type="dxa"/>
              <w:end w:w="160" w:type="dxa"/>
            </w:tcMar>
            <w:shd w:fill="FAF8F5"/>
            <w:tcBorders>
              <w:bottom w:val="single" w:sz="3" w:color="DDD2CA"/>
            </w:tcBorders>
          </w:tcPr>
          <w:p>
            <w:pPr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color w:val="252525"/>
                <w:sz w:val="19"/>
              </w:rPr>
              <w:t>《没有政变的权力革命》</w:t>
            </w:r>
          </w:p>
        </w:tc>
        <w:tc>
          <w:tcPr>
            <w:tcW w:type="dxa" w:w="4649"/>
            <w:tcMar>
              <w:top w:w="130" w:type="dxa"/>
              <w:start w:w="160" w:type="dxa"/>
              <w:bottom w:w="130" w:type="dxa"/>
              <w:end w:w="160" w:type="dxa"/>
            </w:tcMar>
            <w:shd w:fill="FAF8F5"/>
            <w:tcBorders>
              <w:bottom w:val="single" w:sz="3" w:color="DDD2CA"/>
            </w:tcBorders>
          </w:tcPr>
          <w:p>
            <w:pPr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52525"/>
                <w:sz w:val="19"/>
              </w:rPr>
              <w:t>钢斧如何重排一个社会的依赖关系</w:t>
            </w:r>
          </w:p>
        </w:tc>
      </w:tr>
    </w:tbl>
    <w:p>
      <w:pPr>
        <w:spacing w:before="360"/>
        <w:ind w:firstLine="0"/>
      </w:pPr>
      <w:r>
        <w:rPr>
          <w:rFonts w:ascii="Noto Sans CJK SC" w:hAnsi="Noto Sans CJK SC" w:eastAsia="Noto Sans CJK SC" w:cs="Noto Sans CJK SC"/>
          <w:b/>
          <w:color w:val="9A4F2B"/>
          <w:sz w:val="22"/>
        </w:rPr>
        <w:t>核心命题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rPr>
          <w:cantSplit/>
        </w:trPr>
        <w:tc>
          <w:tcPr>
            <w:tcW w:type="dxa" w:w="9128"/>
            <w:shd w:fill="F3EEE9"/>
            <w:tcBorders>
              <w:left w:val="single" w:sz="18" w:color="9A4F2B"/>
            </w:tcBorders>
            <w:tcMar>
              <w:top w:w="190" w:type="dxa"/>
              <w:start w:w="320" w:type="dxa"/>
              <w:bottom w:w="190" w:type="dxa"/>
              <w:end w:w="260" w:type="dxa"/>
            </w:tcMar>
          </w:tcPr>
          <w:p>
            <w:pPr>
              <w:spacing w:line="348" w:lineRule="auto"/>
              <w:ind w:firstLine="0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color w:val="252525"/>
                <w:sz w:val="23"/>
              </w:rPr>
              <w:t>真正改变历史的，不是工具本身变得更锋利，而是人们获得工具时，不再需要经过原来的人。</w:t>
            </w:r>
          </w:p>
        </w:tc>
      </w:tr>
    </w:tbl>
    <w:p>
      <w:pPr>
        <w:spacing w:before="320"/>
        <w:ind w:firstLine="0"/>
      </w:pPr>
      <w:r>
        <w:rPr>
          <w:rFonts w:ascii="Noto Sans CJK SC" w:hAnsi="Noto Sans CJK SC" w:eastAsia="Noto Sans CJK SC" w:cs="Noto Sans CJK SC"/>
          <w:b/>
          <w:color w:val="9A4F2B"/>
          <w:sz w:val="22"/>
        </w:rPr>
        <w:t>本章反复追问</w:t>
      </w:r>
    </w:p>
    <w:p>
      <w:pPr>
        <w:pStyle w:val="TOCMajor"/>
        <w:ind w:left="283"/>
      </w:pPr>
      <w:r>
        <w:rPr>
          <w:rFonts w:ascii="Noto Serif CJK SC" w:hAnsi="Noto Serif CJK SC" w:eastAsia="Noto Serif CJK SC" w:cs="Noto Serif CJK SC"/>
          <w:b/>
          <w:color w:val="252525"/>
          <w:sz w:val="22"/>
        </w:rPr>
        <w:t>—  旧社会靠什么依赖关系维持？</w:t>
      </w:r>
    </w:p>
    <w:p>
      <w:pPr>
        <w:pStyle w:val="TOCMajor"/>
        <w:ind w:left="283"/>
      </w:pPr>
      <w:r>
        <w:rPr>
          <w:rFonts w:ascii="Noto Serif CJK SC" w:hAnsi="Noto Serif CJK SC" w:eastAsia="Noto Serif CJK SC" w:cs="Noto Serif CJK SC"/>
          <w:b/>
          <w:color w:val="252525"/>
          <w:sz w:val="22"/>
        </w:rPr>
        <w:t>—  新技术切断了哪条关系？</w:t>
      </w:r>
    </w:p>
    <w:p>
      <w:pPr>
        <w:pStyle w:val="TOCMajor"/>
        <w:ind w:left="283"/>
      </w:pPr>
      <w:r>
        <w:rPr>
          <w:rFonts w:ascii="Noto Serif CJK SC" w:hAnsi="Noto Serif CJK SC" w:eastAsia="Noto Serif CJK SC" w:cs="Noto Serif CJK SC"/>
          <w:b/>
          <w:color w:val="252525"/>
          <w:sz w:val="22"/>
        </w:rPr>
        <w:t>—  新权力又在哪里形成？</w:t>
      </w:r>
    </w:p>
    <w:p>
      <w:r>
        <w:br w:type="page"/>
      </w:r>
    </w:p>
    <w:p>
      <w:pPr>
        <w:pStyle w:val="Heading1"/>
        <w:pBdr>
          <w:bottom w:val="single" w:sz="8" w:space="5" w:color="9A4F2B"/>
        </w:pBdr>
      </w:pPr>
      <w:r>
        <w:t>本章结构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01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导语：从“我的斧头”开始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02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一、在石斧社会里，一天从借斧开始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03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二、石斧为什么不是普通工具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04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三、传教士为什么无意中发动了一场革命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05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四、权威如何在没有政变的情况下崩塌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06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五、一把斧头怎样抽空一场仪式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07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六、钢斧为什么让神话陷入困境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08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七、解放为什么同时意味着解体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09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八、从依赖长者，到依赖一个更遥远的系统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10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九、真正进入当地的，不只是一把斧头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11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十、今天的钢斧是什么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12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十一、历史类比在哪里成立，又在哪里失效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13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十二、本书真正要写的，不是发明史，而是依赖史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14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十三、回到那把斧头</w:t>
      </w:r>
    </w:p>
    <w:p>
      <w:pPr>
        <w:pStyle w:val="TOCMajor"/>
        <w:tabs>
          <w:tab w:pos="567" w:val="left"/>
        </w:tabs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附  </w:t>
      </w:r>
      <w:r>
        <w:rPr>
          <w:rFonts w:ascii="Noto Serif CJK SC" w:hAnsi="Noto Serif CJK SC" w:eastAsia="Noto Serif CJK SC" w:cs="Noto Serif CJK SC"/>
          <w:b w:val="0"/>
          <w:color w:val="252525"/>
          <w:sz w:val="20"/>
        </w:rPr>
        <w:t>本章机制模型 · 关键结论 · 争议与局限 · 资料来源</w:t>
      </w:r>
    </w:p>
    <w:p>
      <w:r>
        <w:br w:type="page"/>
      </w:r>
    </w:p>
    <w:p>
      <w:pPr>
        <w:spacing w:before="160"/>
        <w:jc w:val="center"/>
      </w:pPr>
      <w:r>
        <w:rPr>
          <w:rFonts w:ascii="Noto Sans CJK SC" w:hAnsi="Noto Sans CJK SC" w:eastAsia="Noto Sans CJK SC" w:cs="Noto Sans CJK SC"/>
          <w:b/>
          <w:color w:val="9A4F2B"/>
          <w:sz w:val="21"/>
        </w:rPr>
        <w:t>序  章</w:t>
      </w:r>
    </w:p>
    <w:p>
      <w:pPr>
        <w:spacing w:after="100"/>
        <w:jc w:val="center"/>
      </w:pPr>
      <w:r>
        <w:rPr>
          <w:rFonts w:ascii="Noto Sans CJK SC" w:hAnsi="Noto Sans CJK SC" w:eastAsia="Noto Sans CJK SC" w:cs="Noto Sans CJK SC"/>
          <w:b/>
          <w:color w:val="252525"/>
          <w:sz w:val="44"/>
        </w:rPr>
        <w:t>钢斧砍断的不是木头</w:t>
      </w:r>
    </w:p>
    <w:p>
      <w:pPr>
        <w:spacing w:after="440"/>
        <w:jc w:val="center"/>
      </w:pPr>
      <w:r>
        <w:rPr>
          <w:rFonts w:ascii="Noto Serif CJK SC" w:hAnsi="Noto Serif CJK SC" w:eastAsia="Noto Serif CJK SC" w:cs="Noto Serif CJK SC"/>
          <w:b w:val="0"/>
          <w:color w:val="6B625D"/>
          <w:sz w:val="25"/>
        </w:rPr>
        <w:t>为什么换一种工具，会动摇一种秩序？</w:t>
      </w:r>
    </w:p>
    <w:p>
      <w:pPr>
        <w:pStyle w:val="Heading2"/>
        <w:pBdr>
          <w:bottom w:val="single" w:sz="5" w:space="3" w:color="C9B8AA"/>
        </w:pBdr>
      </w:pPr>
      <w:r>
        <w:t>导语</w:t>
      </w:r>
    </w:p>
    <w:p>
      <w:pPr>
        <w:pStyle w:val="Lead"/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3"/>
        </w:rPr>
        <w:t>真正令劳里斯顿·夏普警觉的，或许不是钢斧锋利的刃口，而是一个代词：</w:t>
      </w:r>
    </w:p>
    <w:p>
      <w:pPr>
        <w:pStyle w:val="DisplayEmphasis"/>
      </w:pPr>
      <w:r>
        <w:rPr>
          <w:rFonts w:ascii="Noto Sans CJK SC" w:hAnsi="Noto Sans CJK SC" w:eastAsia="Noto Sans CJK SC" w:cs="Noto Sans CJK SC"/>
          <w:b/>
          <w:color w:val="9A4F2B"/>
          <w:sz w:val="40"/>
        </w:rPr>
        <w:t>我的。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在钢斧到来以前，澳大利亚约克角半岛的伊尔·约伦特人中，妇女经常使用斧头。她们用斧头砍取木柴，修建住所，处理食物，一生可能要劈砍数以吨计的木材。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但她们不能说：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“这是我的斧头。”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石斧属于成年男性。妇女需要斧头时，通常向丈夫借；丈夫不在，才找兄长或父亲。年轻人也要向父亲或年长兄长借。斧头每被借出一次，年龄、性别和亲属秩序就被重新确认一次。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后来，传教站开始发放钢斧。妇女、年轻人，甚至儿童，都可能直接得到一把属于自己的斧头。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没有人宣布废除长者权威。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没有人发动政变。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没有人写下新法律。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只是从某一天起，一些人不再需要向原来的人借斧头了。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长者仍然在那里，传统仍然被讲述，仪式也没有立刻消失。但支撑这一切的日常动作已经改变。权威不是被正面击败的，而是在生活中变得不再必要。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一把更好用的斧头，为什么会产生如此深远的后果？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答案并不在斧刃里。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答案在斧头经过谁的手，才能到达使用者手中。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一、在石斧社会里，一天从借斧开始</w:t>
      </w:r>
    </w:p>
    <w:p>
      <w:pPr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20世纪30年代，美国人类学家劳里斯顿·夏普在澳大利亚约克角半岛西岸、科尔曼河口一带，对伊尔·约伦特人进行了田野调查。他发现，这个群体原有的磨制石斧正在迅速消失，来自传教站、牧场和殖民贸易网络的短柄钢斧正在取而代之。夏普后来把观察写成论文《给石器时代澳大利亚人的钢斧》，发表于1952年的《人类组织》杂志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对外来者而言，两种斧头的区别似乎十分简单。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石斧容易磨损，容易破裂，制作和取得都很麻烦。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钢斧更坚固，更锋利，使用时间更长。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按照现代社会熟悉的效率逻辑，钢斧当然代表进步。用更少的时间完成相同劳动，人们就可以改善住所，增加生产，积累物品，发展更多活动。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夏普记录了一个反常识的结果：钢斧虽然能把一些工作做得更快，却没有显著提高当地人的物质生活水平。节省下来的时间，并没有自动转化为更多产量。在夏普略带时代偏见的描述中，人们更多把这些时间用于休息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工具的直接生产效果并不惊人。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它对社会关系的冲击却十分剧烈。(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这正是钢斧故事真正重要的地方。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一项技术的历史影响，并不总与它提高了多少效率成正比。有时，它对产量的作用有限，对权力的作用却极大。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因为石斧从来不只是一件砍木头的工具。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它同时是生产资料、交换品、身份标志、亲属关系的接口，以及祖先秩序的一部分。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它是一种被握在手里的社会制度。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二、石斧为什么不是普通工具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1. 它决定许多劳动能否开始</w:t>
      </w:r>
    </w:p>
    <w:p>
      <w:pPr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伊尔·约伦特人生活在热带地区，以狩猎、捕鱼和采集为生。石斧用于砍伐木柴、搭建雨季住所、制作储物平台和遮阳棚，也用于制造其他工具，在狩猎、捕鱼和采集活动中发挥作用。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几乎每个营地、狩猎队伍和远行群体，都需要至少一把斧头。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斧头不是偶尔使用的奢侈品，而是日常生活的启动按钮。(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谁能取得斧头，谁才能顺利行动。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谁控制斧头，谁就拥有让别人等待、请求或者服从的能力。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2. 它把性别和年龄变成了财产权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妇女和儿童可以使用石斧，却通常不能拥有石斧。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一个已婚妇女需要斧头，首先应当向丈夫借。丈夫无法提供时，她才会按照亲属关系寻找兄长或父亲。女孩、男孩和年轻男性，则通常向父亲或年长兄长借用。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成年男性可以说“我的斧头”。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妇女和儿童不能这样说。(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这不是一个单纯的语言习惯。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“我的”意味着三种权力：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第一，决定什么时候使用；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第二，决定借给谁；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第三，决定是否允许别人使用。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因此，所有权不仅是人与物的关系，也是人与人的关系。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拥有斧头的人得到的不只是工具，还得到了别人的请求。没有斧头的人失去的也不只是财产，而是独立启动行动的资格。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在现代法律中，财产权常被写进法典；在伊尔·约伦特人的日常生活里，它被写进借斧头的顺序。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每一次借用，都在重复同一套信息：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你是丈夫，我是妻子。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你是长者，我是年轻人。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你拥有，我使用。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你批准，我行动。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制度不一定首先存在于议会、法院和公文中。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它也可能存在于一个人每天必须向谁开口。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3. 它连接着一条数百英里的贸易网络</w:t>
      </w:r>
    </w:p>
    <w:p>
      <w:pPr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伊尔·约伦特人活动的地方主要是较新的冲积平原，缺乏适合制造斧头的石料。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他们能够找到木材制作斧柄，找到树皮制作绑绳，找到树脂固定斧头，却不能在本地获得合适的石斧头。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石料来自南方数百英里外的采石地点，需要经过多层男性贸易伙伴逐步交换，才能抵达伊尔·约伦特人手中。有些交换链在这里终止，有些继续向北延伸，当地男性则成为贸易中间人。(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这意味着长者控制的并不是一个制斧秘方。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他们掌握的是一套更复杂的社会资源：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贸易伙伴，亲属身份，交换信用，路线知识，以及谁有资格拥有什么的规则。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一块石斧头在漫长旅途中经过的，不只是不同地理区域，也是不同的人际承诺。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交换双方需要记得过去的交易，判断对方是否可靠，在未来继续履行义务。工具因此具有了信用的性质。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石斧越难取得，贸易关系就越重要。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贸易关系越重要，维持它们的人就越有地位。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长者的权力，并非漂浮在物质生活之上的抽象威望。它有一条清晰的物质基础：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没有贸易伙伴，就没有石斧头；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没有石斧头，许多劳动就无法开始；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因此，掌握贸易关系的人拥有现实的批准权。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4. 它维持的不只是贸易，还有集会与仪式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石斧头的交换，往往集中在旱季的大型集会中。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人们参加成年礼和图腾仪式，也与远方的贸易伙伴见面，交换斧头、长矛和其他物品。数百人可能因仪式而聚集，而贸易又增加了仪式的吸引力。(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现代社会习惯把这些活动分成不同部门：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贸易属于经济；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成年礼属于社会；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图腾仪式属于宗教；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亲属来往属于家庭。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但在伊尔·约伦特人的生活中，它们不是彼此分离的系统。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同一次集会，可以同时完成人员交往、物品交换、身份确认、婚姻联系、知识传递和神圣秩序的重演。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石斧把这些功能捆在了一起。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所以，钢斧替代石斧时，受到冲击的不会只有一种手工业。它可能同时抽走贸易网络、仪式集会和亲属权威的一部分现实用途。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传统之所以稳定，未必只是因为人们相信它神圣。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很多传统还承担着物流、信用、互助和组织功能。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一旦这些功能被新系统接走，仪式即使仍被保留，也可能失去原有的重量。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5. 它被写进了祖先创造世界的故事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在伊尔·约伦特人的图腾观念中，现实世界应当延续祖先时代确立的秩序。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哪些氏族与哪些动物、自然现象、器物和行为相联系，并不只是分类问题。这些联系同时回答：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世界为什么是这样？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某件东西属于谁？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谁有权做什么？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什么行为才是正确的？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石斧已经被纳入这一解释系统。它不仅是男性的工具，也是男性地位、年龄威望和氏族秩序的象征。夏普认为，石斧之所以能够同时进入技术活动、社会关系和价值观念，是因为神话已经为它安排了位置。(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于是，石斧社会形成了一个彼此支撑的闭环：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男性拥有石斧，因此男性拥有现实权力；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男性拥有现实权力，因此男性权威看起来合乎秩序；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神话说明这种秩序来自祖先，因此男性拥有石斧又显得理所当然。</w:t>
            </w:r>
          </w:p>
        </w:tc>
      </w:tr>
    </w:tbl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物质分配证明神话。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神话反过来证明物质分配。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这就是一种秩序最坚固的时候：事实、规则和信仰互相解释。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三、传教士为什么无意中发动了一场革命</w:t>
      </w:r>
    </w:p>
    <w:p>
      <w:pPr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1915年，一座英国国教传教站建立在米切尔河口附近，距离伊尔·约伦特人的核心活动区域约有数日步行路程。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传教士希望改善原住民的生活条件。他们阻止某些危险物品和疾病进入当地，也鼓励引入自己认为有用、文明和具有改善作用的商品。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短柄钢斧正是其中最受欢迎的物品之一。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传教站长期储存钢斧。人们可以通过短期工作取得，也可能在圣诞节和其他传教站节庆中免费得到。更重要的是，传教士发放斧头时，并不总按照当地原有的年龄、性别和亲属等级进行分配。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妇女可以得到。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年轻人可以得到。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儿童也可能得到。(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从传教士的角度看，这是一种不加歧视的善意。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斧头是一件实用品。既然妇女承担大量砍柴劳动，为什么不能直接给她们一把更好用的斧头？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既然年轻人需要工具，为什么必须等待长者许可？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传教士看到的是一个效率问题，也可能是一个公平问题。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但他们没有充分看到，斧头在当地并不是独立的物品。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他们改变的不只是工具材质，也不是简单地增加了人均斧头数量。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他们改变了资源进入社会的路线。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过去，取得斧头大致需要经过：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南方石料来源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→多层男性贸易伙伴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→成年男性或长者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→妇女与年轻使用者。</w:t>
            </w:r>
          </w:p>
        </w:tc>
      </w:tr>
    </w:tbl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现在，新的路线变成：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外部工业生产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→殖民贸易或传教站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→任何被传教站认可、雇用或赠予的人。</w:t>
            </w:r>
          </w:p>
        </w:tc>
      </w:tr>
    </w:tbl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旧体系中的关键节点被绕过了。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钢斧的革命性，不首先来自它有多锋利，而来自它改变了</w:t>
      </w:r>
      <w:r>
        <w:rPr>
          <w:rFonts w:ascii="Noto Serif CJK SC" w:hAnsi="Noto Serif CJK SC" w:eastAsia="Noto Serif CJK SC" w:cs="Noto Serif CJK SC"/>
          <w:b/>
          <w:i w:val="0"/>
          <w:color w:val="252525"/>
          <w:sz w:val="21"/>
        </w:rPr>
        <w:t>谁有权分配锋利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四、权威如何在没有政变的情况下崩塌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当妇女直接得到钢斧时，她第一次可以把斧头称作“我的”。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当年轻人直接得到钢斧时，他不再必须请求父亲或年长兄长。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当南方贸易伙伴可以从传教站、牧场或其他殖民渠道取得钢斧时，他对北方或南方固定伙伴的依赖也会下降。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没有一条法律宣布原有制度无效。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但原有制度赖以运转的行为不再发生。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这是一种没有政变的权力转移。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长者没有被驱逐，也没有在公开争论中失败。他们只是逐渐失去了三种东西：</w:t>
      </w:r>
    </w:p>
    <w:p>
      <w:pPr>
        <w:spacing w:before="100" w:after="100"/>
        <w:ind w:firstLine="0" w:left="0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稀缺资源的控制权，分配资源的批准权，以及由此反复获得的服从。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可以把这种权力写成一个简单模型：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权力强度＝资源的重要性 × 他人对资源的依赖 × 资源入口的排他性。</w:t>
            </w:r>
          </w:p>
        </w:tc>
      </w:tr>
    </w:tbl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在石斧体系中，斧头非常重要，使用者高度依赖所有者，取得渠道又相对排他，因此成年男性和长者的地位较为稳定。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钢斧大量进入后，斧头仍然重要，但旧入口不再排他。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公式中的第三项迅速下降。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旧权威随之贬值。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这揭示了一个常被忽略的事实：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权威不只来自暴力，也不只来自人们内心的尊敬。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许多权威来自一种极其实际的状态：</w:t>
      </w:r>
    </w:p>
    <w:p>
      <w:pPr>
        <w:pStyle w:val="DisplayEmphasis"/>
      </w:pPr>
      <w:r>
        <w:rPr>
          <w:rFonts w:ascii="Noto Sans CJK SC" w:hAnsi="Noto Sans CJK SC" w:eastAsia="Noto Sans CJK SC" w:cs="Noto Sans CJK SC"/>
          <w:b/>
          <w:color w:val="9A4F2B"/>
          <w:sz w:val="40"/>
        </w:rPr>
        <w:t>别人必须经过你。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柜员掌握办理窗口，编辑掌握出版入口，行会掌握职业资格，经销商掌握地方货源，教师掌握知识解释，管理者掌握组织批准。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他们可能拥有经验，也可能提供重要服务。但他们的制度权力，往往还来自别人没有其他路径。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一旦新技术建立绕行路线，旧权威可能在没有正面冲突的情况下迅速衰落。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真正危险的，不是有人公开反对你。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而是人们发现，没有你也可以完成原来的事情。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五、一把斧头怎样抽空一场仪式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钢斧普及以后，传统石斧贸易的重要性下降。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贸易伙伴之间的关系随之松动。旱季大型集会原本也是交换石斧头的重要场合；当斧头可以从另一条路线获得，参加集会的现实收益也随之下降。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仪式并没有因为有人发表反宗教宣言而立刻终止。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它只是少了一个让人必须前来的理由。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于是，一条不易察觉的连锁反应开始出现：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钢斧供应增加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→石斧稀缺性下降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→传统贸易价值下降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→贸易伙伴关系松动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→大型集会吸引力减弱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→仪式失去部分现实功能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→氏族和图腾秩序减少了日常重演的机会。</w:t>
            </w:r>
          </w:p>
        </w:tc>
      </w:tr>
    </w:tbl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当一个仪式不再承担贸易、社交和资源配置功能，它就更容易被人视为单纯的仪式。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而单纯依靠象征意义维持的制度，通常比同时具有现实功能的制度更脆弱。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这也是为什么现代社会中，一些传统会突然衰落。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不是因为某一代人比上一代人更冷漠，而是因为原本由传统承担的功能，已经被学校、市场、保险、平台、交通或者公共服务接走。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人们不再需要在庙会中交换商品，不再需要在宗族仪式中寻找工作，不再需要通过长辈认识婚姻对象。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仪式仍在。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但生活已经从它身边绕了过去。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六、钢斧为什么让神话陷入困境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石斧已经在祖先世界中拥有位置。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钢斧却没有。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当地人可以尝试把它归入某个氏族和图腾类别，但钢斧面临一个难题：它既像石斧，又明显属于外来者的世界；它能够承担石斧的功能，却没有与之对应的稳定起源神话。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如果现实世界应当是祖先时代的延续，那么钢斧从哪里来？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它属于哪个氏族？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哪位祖先创造了它？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为什么外来者能够把它交给原本无权拥有斧头的人？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旧解释系统不是完全不能吸收新事物。任何能够长期存在的文化，都会不断调整故事、分类和仪式。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但钢斧进入得太快，又与大量其他外来商品和殖民制度同时到来。需要被解释的例外不断增加，神话重构的速度赶不上现实变化的速度。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夏普写道，钢斧在不同氏族分类之间摇摆，不仅在物质上替代石斧，也在砍削整个文化体系的支撑。(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这句话之所以有力量，不是因为神话被一件金属工具“证伪”了。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神话不是科学假说，不会因为一次反例就自动消失。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真正的问题是，旧秩序不断告诉人们：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世界只能这样运行。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钢斧却每天证明：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世界还可以用另一种方式运行。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男性不必垄断斧头。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年轻人不必经过长者。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工具不必来自传统贸易伙伴。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一种秩序最深的合法性，并不是人们说它正确，而是人们难以想象其他可能。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钢斧把另一种可能放进了每个人手中。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七、解放为什么同时意味着解体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从妇女和年轻人的角度看，钢斧显然具有解放意义。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他们不再必须以服从、请求和等待换取一件日常工具。所有权扩大了，行动能力也扩大了。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不能为了赞美传统共同体，而忽略旧秩序中的不平等。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石斧体系提供互助、贸易和身份，也确实把妇女、儿童和年轻男性置于从属位置。钢斧削弱了这种资源垄断，使一部分人从“被允许使用”变成“自行决定使用”。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但传统制度通常不是一个可以轻易拆开的零件。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它更像一个功能捆绑包。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长者权威中可能同时包含：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资源垄断，年龄压制，经验传递，纠纷调解，亲属互助，贸易信用，仪式组织，以及在危机中提供解释的能力。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新技术可以迅速摧毁其中的垄断和压制，却不会自动补上其余功能。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于是，社会可能出现一种制度真空：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旧规则已经失去约束力，新规则尚未形成；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旧权威已经不再可信，新权威尚未获得认可；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个人获得更多选择，却失去了稳定预期；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人从旧关系中被释放，却尚未建立新的互助方式。</w:t>
            </w:r>
          </w:p>
        </w:tc>
      </w:tr>
    </w:tbl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这就是技术革命经常同时呈现的两张面孔：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对个人而言，它可能是解放。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对关系网络而言，它可能是解体。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问题不在于解放是否应当发生。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问题在于，解除旧依赖之后，谁来承担过去被旧制度捆绑提供的保障、协调和意义功能。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钢斧没有义务回答这个问题。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但社会必须回答。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八、从依赖长者，到依赖一个更遥远的系统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钢斧削弱了本地的依赖关系，却没有使伊尔·约伦特人变得完全独立。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恰恰相反，它建立了另一种依赖。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石斧头虽然也来自远方，但取得石斧所依赖的是当地人理解并参与的交换体系。贸易伙伴是谁，需要提供什么，交换通常在何时发生，这些规则相对可见，也能通过长期关系加以维持。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钢斧头则无法由当地人制造。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它的供应来自外部工业体系、殖民贸易、牧场和传教站。一个人能否得到钢斧，可能取决于是否参加传教站活动、是否获得短期工作、是否符合传教人员对“表现良好”的判断，或者是否偶然赶上一次赠送。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夏普注意到，对一些年长男性而言，从石斧转向钢斧，意味着从一套熟悉、结构清楚的交换关系，转入一套由外部力量决定的、规则不明的分配关系。(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他们不再依赖传统贸易伙伴，却开始依赖传教站。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不再依赖本地长者，却开始依赖殖民供应。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不再受旧规则约束，却也很难影响新规则。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因此，钢斧带来的不是从依赖到自由的直线转变，而是依赖关系的迁移：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从依赖一个看得见、可以交涉的人，转向依赖一个更遥远、更强大、也更难改变的系统。</w:t>
            </w:r>
          </w:p>
        </w:tc>
      </w:tr>
    </w:tbl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旧依赖往往带有人情、身份和等级。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新依赖则表现为供应、账号、资格、接口和标准。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前者让人感到压迫，因为控制者就在面前。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后者更容易被误认为自由，因为控制者隐藏在系统背后。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九、真正进入当地的，不只是一把斧头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到这里，必须对“钢斧摧毁了一个社会”这种说法保持谨慎。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夏普本人已经承认，钢斧大量进入时，传教活动、牧场经济、殖民扩张、劳动力组织和其他欧洲商品也在同时改变当地生活，因此不可能把所有社会变化单独归因于钢斧。(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钢斧不是孤立变量。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传教士带来的不只是工具，还有新的劳动制度、新的领导方式、新的奖励体系和新的道德评价。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牧场带来的不只是商品，还有殖民土地关系和外来暴力。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外部社会带来的也不只是钢铁，而是一整套远远超过当地人控制能力的政治经济系统。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后来的研究进一步批评了夏普关于“完整文化崩溃”的预测。一项在约半个世纪后进行的重新调查认为，夏普过度强调了当地图腾体系的封闭性，低估了伊尔·约伦特人重组信仰、语言和社会生活的韧性。近年来的人类学研究也提醒读者，“文化消失”的叙事可能遮蔽原住民在殖民压力下的持续适应、抵抗和创造。(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[2]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)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因此，更准确的历史判断不是：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一把钢斧单独摧毁了一个社会。</w:t>
            </w:r>
          </w:p>
        </w:tc>
      </w:tr>
    </w:tbl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而是：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钢斧改变了关键资源的入口，并与殖民权力、传教制度和商品供应共同作用，使旧秩序中依靠资源稀缺、性别等级、贸易网络和祖先叙事维持的部分迅速暴露出来。</w:t>
            </w:r>
          </w:p>
        </w:tc>
      </w:tr>
    </w:tbl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钢斧是导火索，也是放大镜。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它让原本分散在生产、家庭、贸易和信仰中的依赖关系，在很短时间内同时发生变化。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十、今天的钢斧是什么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今天，大多数人不会为借一把斧头而请求长者。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但我们仍然生活在资源入口构成的秩序里。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只是现代社会的“斧头”，变成了信息、支付、账号、流量、算力和行动权限。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1. 智能手机：把地方中介装进口袋</w:t>
      </w:r>
    </w:p>
    <w:p>
      <w:pPr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过去，一个人办理事务，往往需要经过家中长辈、熟人介绍、售票窗口、银行柜员、地方商店、报纸编辑和单位工作人员。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智能手机把导航、购物、通信、支付、挂号、学习和行政服务送到个人手中。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很多旧中介因此被绕过。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人们不再询问熟人怎么走，而是打开地图。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不再等待银行营业，而是使用移动支付。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不再完全依赖教师和图书馆寻找初步信息，而是直接搜索。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这确实扩大了个人行动能力。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但智能手机并没有消灭中介。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它把中介从地方熟人和柜台工作人员，迁移到操作系统、应用商店、平台、身份认证和支付网络。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过去的问题是：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谁愿意替你办？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今天的问题可能是：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系统是否允许你办？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不会使用智能设备的人，遇到的不只是技术不便。当社会服务默认每个人都拥有设备、账号和数字技能时，无法登录、无法验证、无法支付，就可能意味着无法完整参与社会生活。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钢斧时代，妇女和年轻人绕过了长者。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智能手机时代，个人绕过了地方中介，却越来越难绕过平台。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2. 平台：不生产斧头，却控制斧头经过的道路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数字平台经常不直接生产商品，也不亲自提供每一项服务。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它们控制的是连接方式：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谁可以进入市场；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谁能被搜索到；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谁获得推荐；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谁可以收款；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谁的账号会被限制；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谁能够提出申诉。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平台的权力类似于传教站，但规模更大，也更加抽象。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传教站决定谁得到钢斧。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平台决定谁得到流量、订单、资格和可见度。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传统长者的规则通过习俗表达。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平台的规则则被写进用户协议、排序系统和软件代码。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社会并未摆脱批准权。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批准权只是从一个具体的人，转移到了一个难以看见的系统。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3. 人工智能：让答案不再必须经过专家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人工智能进一步降低的，是部分认知劳动的成本：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搜索、翻译、写作、归纳、初步分析、编程和解释。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许多职业角色的部分权威来自知识不对称：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我知道，而你不知道。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我知道规则在哪里。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我知道怎样写。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我经历过相似情况。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你必须经过我，才能得到初步答案。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当普通人可以直接向人工智能寻求解释时，部分知识入口开始被绕过。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这不意味着教师、医生、律师、工程师和管理者会简单消失。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它意味着专业权威的基础可能发生变化。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提供通用答案的价值下降，定义问题、判断例外、核实证据、承担责任和处理真实关系的价值上升。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钢斧削弱的是斧头所有者的垄断。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人工智能削弱的，首先是普通答案提供者的垄断。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但它也在创造新的资源入口：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模型由谁提供？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训练数据由谁掌握？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算力由谁控制？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内部资料由谁允许访问？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回答错误时由谁承担责任？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旧专家不再是唯一入口，不等于社会从此没有入口。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模型平台可能成为新的必经之路。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[项目资料]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4. Agent：从回答问题，到代表人行动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普通人工智能主要给出答案。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智能代理，也就是Agent，可能代表用户调用工具、填写表格、安排任务、处理交易和执行工作流程。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它冲击的不再只是知识权，而是行动权。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过去的问题是：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谁知道怎样完成这件事？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未来的问题可能变成：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谁有资格授权一个系统替自己完成这件事？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当Agent开始行动，账号、接口、数据权限、审计记录和最终批准权就会成为关键资源。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谁控制接口，谁决定Agent能够进入哪个系统。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谁控制身份，谁决定Agent代表的是谁。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谁控制权限，谁决定机器可以建议，还是可以直接执行。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Agent时代的新“斧头分配者”，未必是最聪明的模型。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它更可能是控制身份、数据、标准和行动入口的组织。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[项目资料]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十一、历史类比在哪里成立，又在哪里失效</w:t>
      </w:r>
    </w:p>
    <w:p>
      <w:pPr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把钢斧与智能手机、平台和人工智能相比，并不是说这些技术会产生完全相同的结果。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类比成立的地方，是它们具有相似的结构：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新技术降低某种资源的取得成本；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一部分人因此绕过旧中介；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旧权威失去批准权；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新的系统入口随之形成。</w:t>
            </w:r>
          </w:p>
        </w:tc>
      </w:tr>
    </w:tbl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但类比也有清楚的边界。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伊尔·约伦特人面对的是具有明显力量不对称的殖民接触。钢斧来自一个他们几乎无法影响的外部工业和政治体系。现代数字社会虽然也存在平台集中和技术不平等，但多数使用者同时生活在市场、国家、法律和公共舆论构成的复杂制度中，至少存在一定程度的竞争、监管、协商和退出可能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此外，现代人通常已经习惯技术持续变化。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许多现代制度甚至把创新视为合法性来源。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伊尔·约伦特人的祖先秩序更强调现实对起源时代的延续，新技术因而更难获得解释位置。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所以，历史类比不能替代具体分析。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它只能提供一组问题：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旧社会靠什么依赖维持？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新技术切断了哪条关系？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哪些人获得了新的行动能力？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旧制度还承担了哪些保障功能？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新的资源入口在哪里？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普通人能否理解、质疑和退出这个入口？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十二、本书真正要写的，不是发明史，而是依赖史</w:t>
      </w:r>
    </w:p>
    <w:p>
      <w:pPr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本书将从钢斧出发，依次讨论农业、铁器、文字、货币、印刷、钟表、火药、蒸汽机、工厂、铁路、电报、电力、汽车、公共卫生、计算机、互联网、平台和人工智能。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这些技术看起来完全不同。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一把斧头用于砍木材。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文字用于记录。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铁路用于运输。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算法用于排序。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人工智能用于处理认知任务。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但它们反复改变着同一件事：</w:t>
      </w:r>
    </w:p>
    <w:p>
      <w:pPr>
        <w:pStyle w:val="DisplayEmphasis"/>
      </w:pPr>
      <w:r>
        <w:rPr>
          <w:rFonts w:ascii="Noto Sans CJK SC" w:hAnsi="Noto Sans CJK SC" w:eastAsia="Noto Sans CJK SC" w:cs="Noto Sans CJK SC"/>
          <w:b/>
          <w:color w:val="9A4F2B"/>
          <w:sz w:val="40"/>
        </w:rPr>
        <w:t>谁必须经过谁。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农业剩余出现以后，谁管理粮仓，谁就拥有分配能力。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文字普及以后，谁能记录、复制和解释文书，谁就拥有组织记忆。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印刷降低复制成本以后，抄写员和旧知识机构被削弱，出版商、审查机构和公众舆论随之出现。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蒸汽机和工厂把工具从家庭带入资本所有者控制的生产空间，劳动者不再拥有完成工作的全部条件。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铁路和电报扩大了市场，也扩大了国家和大型企业抵达地方的能力。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互联网绕过了一部分编辑和经销商，却创造了搜索、平台与推荐算法。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人工智能削弱一部分知识中介，又把人们带向模型、数据、算力和权限系统。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由此可以看见贯穿全书的因果链：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技术变化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→行动成本变化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→资源稀缺性变化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→依赖关系变化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→权力重新分配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→身份与合法性变化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→新制度形成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→新的依赖稳定下来。</w:t>
            </w:r>
          </w:p>
        </w:tc>
      </w:tr>
    </w:tbl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技术不是独自在历史中行走。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它总要与产权、家庭、市场、国家、信仰和组织结合。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同一种工具进入不同制度，可能产生完全不同的结果。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铁器可以增强家庭生产能力，也可以增强国家征税能力。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印刷可以扩大公共争论，也可以强化标准化和审查。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智能手机可以使个人越过柜台，也可以使平台成为社会参与的默认入口。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因此，历史真正竞争的从来不是孤立的机器，而是完整的“技术—制度组合”。</w:t>
      </w:r>
      <w:r>
        <w:rPr>
          <w:rFonts w:ascii="Noto Sans CJK SC" w:hAnsi="Noto Sans CJK SC" w:eastAsia="Noto Sans CJK SC" w:cs="Noto Sans CJK SC"/>
          <w:b/>
          <w:color w:val="9A4F2B"/>
          <w:sz w:val="17"/>
          <w:vertAlign w:val="superscript"/>
        </w:rPr>
        <w:t>[项目资料]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十三、回到那把斧头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让我们重新看那把石斧。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它的斧头很小，权力却很大。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因为它处在许多关系的交叉点上：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妇女与丈夫；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年轻人与长者；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当地人与贸易伙伴；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现实生活与祖先世界；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日常劳动与神圣秩序。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钢斧进入以后，这些关系没有在同一天消失。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但它们不再像过去那样，能够通过每一次借斧得到确认。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妇女可以拿起自己的斧头。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年轻人可以绕过父亲。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贸易伙伴可以寻找新的货源。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传教站成为新的分配者。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旧秩序失去了一部分压制能力，也失去了一部分组织能力。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个人获得了新的行动空间，却进入了一个自己无法生产钢斧、也无法制定分配规则的外部系统。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所以，钢斧故事并不是一则简单的技术悲剧。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它也不是一则直线进步的故事。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它是一场权力入口的重新布置。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真正被钢斧砍断的，不只是木头，不只是石斧贸易，也不只是男性长者的威望。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它砍断的是一条每天都在重复的依赖链。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而当人们低头察看断裂处时，另一条更长、更远，也更难看清的依赖链，已经接了上来。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这就是《钢斧之后》将要追问的问题：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每一次技术革命之后，谁不再是必经之路？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谁又成为新的必经之路？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人类得到的是更大的自由，还是一种更难察觉的依赖？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本章机制模型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钢斧效应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关键资源高度稀缺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→少数人控制资源入口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→日常借用不断确认身份秩序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→资源控制转化为长者、男性与贸易中介的权威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→新技术降低稀缺性并改变分配路线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→妇女和年轻人绕过旧控制者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→旧权威失去批准权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→贸易、仪式和合法性同步松动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→旧依赖被解除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i w:val="0"/>
                <w:color w:val="252525"/>
                <w:sz w:val="21"/>
              </w:rPr>
              <w:t>→社会转向对传教站和殖民供应体系的新依赖。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6"/>
        </w:rPr>
        <w:t>全书通用模型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9128"/>
            <w:shd w:fill="FAF8F5"/>
            <w:tcBorders>
              <w:left w:val="single" w:sz="16" w:color="9A4F2B"/>
            </w:tcBorders>
            <w:tcMar>
              <w:top w:w="150" w:type="dxa"/>
              <w:start w:w="280" w:type="dxa"/>
              <w:bottom w:w="150" w:type="dxa"/>
              <w:end w:w="240" w:type="dxa"/>
            </w:tcMar>
          </w:tcPr>
          <w:p>
            <w:pPr>
              <w:spacing w:line="336" w:lineRule="auto" w:after="0"/>
              <w:ind w:firstLine="0"/>
            </w:pP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技术改变成本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→成本改变稀缺性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→稀缺性改变依赖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→依赖改变权力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→权力改变身份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/>
                <w:i w:val="0"/>
                <w:color w:val="252525"/>
                <w:sz w:val="21"/>
              </w:rPr>
              <w:t>→身份变化迫使制度与合法性重建。</w:t>
            </w:r>
          </w:p>
        </w:tc>
      </w:tr>
    </w:tbl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关键结论</w:t>
      </w:r>
    </w:p>
    <w:p>
      <w:pPr>
        <w:spacing w:before="100" w:after="100"/>
        <w:ind w:firstLine="0" w:left="14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第一，权力经常来自资源入口，而不只来自暴力和职位。</w:t>
      </w:r>
    </w:p>
    <w:p>
      <w:pPr>
        <w:spacing w:before="100" w:after="100"/>
        <w:ind w:firstLine="0" w:left="14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第二，所有权决定的不只是物品归属，也决定谁可以独立行动。</w:t>
      </w:r>
    </w:p>
    <w:p>
      <w:pPr>
        <w:spacing w:before="100" w:after="100"/>
        <w:ind w:firstLine="0" w:left="14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第三，新技术最先冲击的，往往是旧社会中的“必经之路”。</w:t>
      </w:r>
    </w:p>
    <w:p>
      <w:pPr>
        <w:spacing w:before="100" w:after="100"/>
        <w:ind w:firstLine="0" w:left="14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第四，所谓去中介，通常不是中介消失，而是中介迁移。</w:t>
      </w:r>
    </w:p>
    <w:p>
      <w:pPr>
        <w:spacing w:before="100" w:after="100"/>
        <w:ind w:firstLine="0" w:left="14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第五，技术能够同时带来解放、增能、解体和再依赖。</w:t>
      </w:r>
    </w:p>
    <w:p>
      <w:pPr>
        <w:spacing w:before="100" w:after="100"/>
        <w:ind w:firstLine="0" w:left="14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第六，技术效率与制度冲击并不成正比。生产率变化有限的工具，也可能引发巨大的权力重组。</w:t>
      </w:r>
    </w:p>
    <w:p>
      <w:pPr>
        <w:spacing w:before="100" w:after="100"/>
        <w:ind w:firstLine="0" w:left="142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第七，技术不会单独决定历史。真正产生后果的是技术与殖民、市场、国家、家庭和信仰构成的制度组合。</w:t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争议与局限</w:t>
      </w:r>
    </w:p>
    <w:p>
      <w:pPr>
        <w:spacing w:after="70"/>
        <w:ind w:left="369" w:hanging="255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1. </w:t>
      </w:r>
      <w:r>
        <w:rPr>
          <w:rFonts w:ascii="Noto Serif CJK SC" w:hAnsi="Noto Serif CJK SC" w:eastAsia="Noto Serif CJK SC" w:cs="Noto Serif CJK SC"/>
          <w:b/>
          <w:i w:val="0"/>
          <w:color w:val="252525"/>
          <w:sz w:val="20"/>
        </w:rPr>
        <w:t>钢斧不是唯一变量。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它与传教活动、牧场扩张、殖民暴力、商品输入和新劳动组织同时进入当地，不能把全部变化归因于单一工具。</w:t>
      </w:r>
    </w:p>
    <w:p>
      <w:pPr>
        <w:spacing w:after="70"/>
        <w:ind w:left="369" w:hanging="255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2. </w:t>
      </w:r>
      <w:r>
        <w:rPr>
          <w:rFonts w:ascii="Noto Serif CJK SC" w:hAnsi="Noto Serif CJK SC" w:eastAsia="Noto Serif CJK SC" w:cs="Noto Serif CJK SC"/>
          <w:b/>
          <w:i w:val="0"/>
          <w:color w:val="252525"/>
          <w:sz w:val="20"/>
        </w:rPr>
        <w:t>夏普的“文化崩溃”判断带有时代局限。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后续研究认为，他低估了伊尔·约伦特人适应、重组和延续文化的能力。</w:t>
      </w:r>
    </w:p>
    <w:p>
      <w:pPr>
        <w:spacing w:after="70"/>
        <w:ind w:left="369" w:hanging="255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3. </w:t>
      </w:r>
      <w:r>
        <w:rPr>
          <w:rFonts w:ascii="Noto Serif CJK SC" w:hAnsi="Noto Serif CJK SC" w:eastAsia="Noto Serif CJK SC" w:cs="Noto Serif CJK SC"/>
          <w:b/>
          <w:i w:val="0"/>
          <w:color w:val="252525"/>
          <w:sz w:val="20"/>
        </w:rPr>
        <w:t>旧秩序不能被浪漫化。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它包含互助和身份体系，也包含明显的年龄与性别不平等。</w:t>
      </w:r>
    </w:p>
    <w:p>
      <w:pPr>
        <w:spacing w:after="70"/>
        <w:ind w:left="369" w:hanging="255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4. </w:t>
      </w:r>
      <w:r>
        <w:rPr>
          <w:rFonts w:ascii="Noto Serif CJK SC" w:hAnsi="Noto Serif CJK SC" w:eastAsia="Noto Serif CJK SC" w:cs="Noto Serif CJK SC"/>
          <w:b/>
          <w:i w:val="0"/>
          <w:color w:val="252525"/>
          <w:sz w:val="20"/>
        </w:rPr>
        <w:t>当代类比只能用于比较机制。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智能手机、平台和人工智能与殖民接触的权力环境并不相同，不能把它们直接等同。</w:t>
      </w:r>
    </w:p>
    <w:p>
      <w:pPr>
        <w:spacing w:after="70"/>
        <w:ind w:left="369" w:hanging="255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5. </w:t>
      </w:r>
      <w:r>
        <w:rPr>
          <w:rFonts w:ascii="Noto Serif CJK SC" w:hAnsi="Noto Serif CJK SC" w:eastAsia="Noto Serif CJK SC" w:cs="Noto Serif CJK SC"/>
          <w:b/>
          <w:i w:val="0"/>
          <w:color w:val="252525"/>
          <w:sz w:val="20"/>
        </w:rPr>
        <w:t>“依赖迁移”是解释框架，不是技术决定论。</w:t>
      </w:r>
    </w:p>
    <w:p>
      <w:pPr/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新技术提供绕过旧入口的能力，但最终由谁获得权力，还取决于产权、法律、组织、竞争和公共治理。</w:t>
      </w:r>
    </w:p>
    <w:p>
      <w:r>
        <w:br w:type="page"/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资料来源建议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核心史料</w:t>
      </w:r>
    </w:p>
    <w:p>
      <w:pPr>
        <w:spacing w:after="70"/>
        <w:ind w:left="369" w:hanging="198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•  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 xml:space="preserve">Lauriston Sharp, </w:t>
      </w:r>
      <w:r>
        <w:rPr>
          <w:rFonts w:ascii="Noto Serif CJK SC" w:hAnsi="Noto Serif CJK SC" w:eastAsia="Noto Serif CJK SC" w:cs="Noto Serif CJK SC"/>
          <w:b/>
          <w:i w:val="0"/>
          <w:color w:val="252525"/>
          <w:sz w:val="20"/>
        </w:rPr>
        <w:t>“Steel Axes for Stone-Age Australians”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, *Human Organization*, 1952。钢斧案例的原始经典文本。(</w:t>
      </w:r>
      <w:r>
        <w:rPr>
          <w:rFonts w:ascii="Noto Sans CJK SC" w:hAnsi="Noto Sans CJK SC" w:eastAsia="Noto Sans CJK SC" w:cs="Noto Sans CJK SC"/>
          <w:b/>
          <w:color w:val="9A4F2B"/>
          <w:sz w:val="16"/>
          <w:vertAlign w:val="superscript"/>
        </w:rPr>
        <w:t>[1]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)</w:t>
      </w:r>
    </w:p>
    <w:p>
      <w:pPr>
        <w:spacing w:after="70"/>
        <w:ind w:left="369" w:hanging="198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•  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劳里斯顿·夏普关于伊尔·约伦特人社会组织、仪式生活与经济活动的早期田野论文。(</w:t>
      </w:r>
      <w:r>
        <w:rPr>
          <w:rFonts w:ascii="Noto Sans CJK SC" w:hAnsi="Noto Sans CJK SC" w:eastAsia="Noto Sans CJK SC" w:cs="Noto Sans CJK SC"/>
          <w:b/>
          <w:color w:val="9A4F2B"/>
          <w:sz w:val="16"/>
          <w:vertAlign w:val="superscript"/>
        </w:rPr>
        <w:t>[3]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)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后续研究与反思</w:t>
      </w:r>
    </w:p>
    <w:p>
      <w:pPr>
        <w:spacing w:after="70"/>
        <w:ind w:left="369" w:hanging="198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•  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 xml:space="preserve">John C. Taylor, </w:t>
      </w:r>
      <w:r>
        <w:rPr>
          <w:rFonts w:ascii="Noto Serif CJK SC" w:hAnsi="Noto Serif CJK SC" w:eastAsia="Noto Serif CJK SC" w:cs="Noto Serif CJK SC"/>
          <w:b/>
          <w:i w:val="0"/>
          <w:color w:val="252525"/>
          <w:sz w:val="20"/>
        </w:rPr>
        <w:t>Of Acts and Axes: An Ethnography of Socio-Cultural Change in an Aboriginal Community, Cape York Peninsula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, 1984。重新考察夏普的文化崩溃预测。(</w:t>
      </w:r>
      <w:r>
        <w:rPr>
          <w:rFonts w:ascii="Noto Sans CJK SC" w:hAnsi="Noto Sans CJK SC" w:eastAsia="Noto Sans CJK SC" w:cs="Noto Sans CJK SC"/>
          <w:b/>
          <w:color w:val="9A4F2B"/>
          <w:sz w:val="16"/>
          <w:vertAlign w:val="superscript"/>
        </w:rPr>
        <w:t>[4]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)</w:t>
      </w:r>
    </w:p>
    <w:p>
      <w:pPr>
        <w:spacing w:after="70"/>
        <w:ind w:left="369" w:hanging="198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•  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 xml:space="preserve">Richard J. Martin, </w:t>
      </w:r>
      <w:r>
        <w:rPr>
          <w:rFonts w:ascii="Noto Serif CJK SC" w:hAnsi="Noto Serif CJK SC" w:eastAsia="Noto Serif CJK SC" w:cs="Noto Serif CJK SC"/>
          <w:b/>
          <w:i w:val="0"/>
          <w:color w:val="252525"/>
          <w:sz w:val="20"/>
        </w:rPr>
        <w:t>“Cultural Loss and Compensation in the Anthropology of Aboriginal Australia”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, 2023。讨论文化损失叙事、原住民韧性以及对夏普研究的后续批评。(</w:t>
      </w:r>
      <w:r>
        <w:rPr>
          <w:rFonts w:ascii="Noto Sans CJK SC" w:hAnsi="Noto Sans CJK SC" w:eastAsia="Noto Sans CJK SC" w:cs="Noto Sans CJK SC"/>
          <w:b/>
          <w:color w:val="9A4F2B"/>
          <w:sz w:val="16"/>
          <w:vertAlign w:val="superscript"/>
        </w:rPr>
        <w:t>[2]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)</w:t>
      </w:r>
    </w:p>
    <w:p>
      <w:pPr>
        <w:spacing w:after="70"/>
        <w:ind w:left="369" w:hanging="198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•  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 xml:space="preserve">Fredrik Barth, </w:t>
      </w:r>
      <w:r>
        <w:rPr>
          <w:rFonts w:ascii="Noto Serif CJK SC" w:hAnsi="Noto Serif CJK SC" w:eastAsia="Noto Serif CJK SC" w:cs="Noto Serif CJK SC"/>
          <w:b/>
          <w:i w:val="0"/>
          <w:color w:val="252525"/>
          <w:sz w:val="20"/>
        </w:rPr>
        <w:t>“On the Study of Social Change”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, 1967。把钢斧案例用于分析资源分配、选择与社会变化机制。(</w:t>
      </w:r>
      <w:r>
        <w:rPr>
          <w:rFonts w:ascii="Noto Sans CJK SC" w:hAnsi="Noto Sans CJK SC" w:eastAsia="Noto Sans CJK SC" w:cs="Noto Sans CJK SC"/>
          <w:b/>
          <w:color w:val="9A4F2B"/>
          <w:sz w:val="16"/>
          <w:vertAlign w:val="superscript"/>
        </w:rPr>
        <w:t>[5]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)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2"/>
        </w:rPr>
        <w:t>全书框架资料</w:t>
      </w:r>
    </w:p>
    <w:p>
      <w:pPr>
        <w:spacing w:after="70"/>
        <w:ind w:left="369" w:hanging="198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•  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项目资料《技术为什么会改变社会制度？》：用于钢斧机制、铁器比较、智能手机与AI映射。</w:t>
      </w:r>
      <w:r>
        <w:rPr>
          <w:rFonts w:ascii="Noto Sans CJK SC" w:hAnsi="Noto Sans CJK SC" w:eastAsia="Noto Sans CJK SC" w:cs="Noto Sans CJK SC"/>
          <w:b/>
          <w:color w:val="9A4F2B"/>
          <w:sz w:val="16"/>
          <w:vertAlign w:val="superscript"/>
        </w:rPr>
        <w:t>[项目资料]</w:t>
      </w:r>
    </w:p>
    <w:p>
      <w:pPr>
        <w:spacing w:after="70"/>
        <w:ind w:left="369" w:hanging="198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•  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项目资料《技术如何塑造中西方社会：历史研究总目录》：用于技术影响通道及跨时代案例库。</w:t>
      </w:r>
      <w:r>
        <w:rPr>
          <w:rFonts w:ascii="Noto Sans CJK SC" w:hAnsi="Noto Sans CJK SC" w:eastAsia="Noto Sans CJK SC" w:cs="Noto Sans CJK SC"/>
          <w:b/>
          <w:color w:val="9A4F2B"/>
          <w:sz w:val="16"/>
          <w:vertAlign w:val="superscript"/>
        </w:rPr>
        <w:t>[项目资料]</w:t>
      </w:r>
    </w:p>
    <w:p>
      <w:pPr>
        <w:spacing w:after="70"/>
        <w:ind w:left="369" w:hanging="198"/>
      </w:pPr>
      <w:r>
        <w:rPr>
          <w:rFonts w:ascii="Noto Sans CJK SC" w:hAnsi="Noto Sans CJK SC" w:eastAsia="Noto Sans CJK SC" w:cs="Noto Sans CJK SC"/>
          <w:b/>
          <w:color w:val="9A4F2B"/>
          <w:sz w:val="19"/>
        </w:rPr>
        <w:t xml:space="preserve">•  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0"/>
        </w:rPr>
        <w:t>项目资料《钢斧之后》全书结构：用于全书因果链、章节逻辑和“技术—制度组合”框架。</w:t>
      </w:r>
      <w:r>
        <w:rPr>
          <w:rFonts w:ascii="Noto Sans CJK SC" w:hAnsi="Noto Sans CJK SC" w:eastAsia="Noto Sans CJK SC" w:cs="Noto Sans CJK SC"/>
          <w:b/>
          <w:color w:val="9A4F2B"/>
          <w:sz w:val="16"/>
          <w:vertAlign w:val="superscript"/>
        </w:rPr>
        <w:t>[项目资料]</w:t>
      </w:r>
    </w:p>
    <w:p>
      <w:r>
        <w:br w:type="page"/>
      </w:r>
    </w:p>
    <w:p>
      <w:pPr>
        <w:pStyle w:val="Heading1"/>
        <w:pBdr>
          <w:bottom w:val="single" w:sz="5" w:space="3" w:color="C9B8AA"/>
        </w:pBdr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33"/>
        </w:rPr>
        <w:t>最后检查</w:t>
      </w:r>
    </w:p>
    <w:p>
      <w:pPr>
        <w:spacing w:before="60" w:after="100"/>
        <w:ind w:firstLine="0"/>
      </w:pPr>
      <w:r>
        <w:rPr>
          <w:rFonts w:ascii="Noto Serif CJK SC" w:hAnsi="Noto Serif CJK SC" w:eastAsia="Noto Serif CJK SC" w:cs="Noto Serif CJK SC"/>
          <w:b/>
          <w:i w:val="0"/>
          <w:color w:val="252525"/>
          <w:sz w:val="21"/>
        </w:rPr>
        <w:t>开头是否抓人：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以妇女第一次能够说“我的斧头”为认知冲突切入。</w:t>
      </w:r>
    </w:p>
    <w:p>
      <w:pPr/>
      <w:r>
        <w:rPr>
          <w:rFonts w:ascii="Noto Serif CJK SC" w:hAnsi="Noto Serif CJK SC" w:eastAsia="Noto Serif CJK SC" w:cs="Noto Serif CJK SC"/>
          <w:b/>
          <w:i w:val="0"/>
          <w:color w:val="252525"/>
          <w:sz w:val="21"/>
        </w:rPr>
        <w:t>故事是否真实：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关键人物、地点、分配方式和社会关系均依据夏普田野材料；未虚构对话和个体心理。</w:t>
      </w:r>
    </w:p>
    <w:p>
      <w:pPr/>
      <w:r>
        <w:rPr>
          <w:rFonts w:ascii="Noto Serif CJK SC" w:hAnsi="Noto Serif CJK SC" w:eastAsia="Noto Serif CJK SC" w:cs="Noto Serif CJK SC"/>
          <w:b/>
          <w:i w:val="0"/>
          <w:color w:val="252525"/>
          <w:sz w:val="21"/>
        </w:rPr>
        <w:t>因果是否完整：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从工具稀缺、资源入口、借用关系、权力结构，推进到贸易、仪式、合法性与新依赖。</w:t>
      </w:r>
    </w:p>
    <w:p>
      <w:pPr/>
      <w:r>
        <w:rPr>
          <w:rFonts w:ascii="Noto Serif CJK SC" w:hAnsi="Noto Serif CJK SC" w:eastAsia="Noto Serif CJK SC" w:cs="Noto Serif CJK SC"/>
          <w:b/>
          <w:i w:val="0"/>
          <w:color w:val="252525"/>
          <w:sz w:val="21"/>
        </w:rPr>
        <w:t>案例是否服务主线：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智能手机、平台、AI和Agent均围绕“谁成为必经之路”展开。</w:t>
      </w:r>
    </w:p>
    <w:p>
      <w:pPr/>
      <w:r>
        <w:rPr>
          <w:rFonts w:ascii="Noto Serif CJK SC" w:hAnsi="Noto Serif CJK SC" w:eastAsia="Noto Serif CJK SC" w:cs="Noto Serif CJK SC"/>
          <w:b/>
          <w:i w:val="0"/>
          <w:color w:val="252525"/>
          <w:sz w:val="21"/>
        </w:rPr>
        <w:t>是否处理反方：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明确承认殖民背景、多重变量及后续研究对“文化崩溃”叙事的修正。</w:t>
      </w:r>
    </w:p>
    <w:p>
      <w:pPr/>
      <w:r>
        <w:rPr>
          <w:rFonts w:ascii="Noto Serif CJK SC" w:hAnsi="Noto Serif CJK SC" w:eastAsia="Noto Serif CJK SC" w:cs="Noto Serif CJK SC"/>
          <w:b/>
          <w:i w:val="0"/>
          <w:color w:val="252525"/>
          <w:sz w:val="21"/>
        </w:rPr>
        <w:t>结论是否超出证据：</w:t>
      </w:r>
      <w:r>
        <w:rPr>
          <w:rFonts w:ascii="Noto Serif CJK SC" w:hAnsi="Noto Serif CJK SC" w:eastAsia="Noto Serif CJK SC" w:cs="Noto Serif CJK SC"/>
          <w:b w:val="0"/>
          <w:i w:val="0"/>
          <w:color w:val="252525"/>
          <w:sz w:val="21"/>
        </w:rPr>
        <w:t>没有将钢斧写成唯一原因，也没有把当代技术类比写成必然预言。</w:t>
      </w:r>
    </w:p>
    <w:p>
      <w:r>
        <w:br w:type="page"/>
      </w:r>
    </w:p>
    <w:p>
      <w:pPr>
        <w:pStyle w:val="Heading1"/>
        <w:pBdr>
          <w:bottom w:val="single" w:sz="8" w:space="5" w:color="9A4F2B"/>
        </w:pBdr>
      </w:pPr>
      <w:r>
        <w:t>引用链接索引</w:t>
      </w:r>
    </w:p>
    <w:p>
      <w:pPr>
        <w:pStyle w:val="SourceEntry"/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[1] </w:t>
      </w:r>
      <w:r>
        <w:rPr>
          <w:rFonts w:ascii="Noto Serif CJK SC" w:hAnsi="Noto Serif CJK SC" w:eastAsia="Noto Serif CJK SC" w:cs="Noto Serif CJK SC"/>
          <w:b w:val="0"/>
          <w:color w:val="252525"/>
          <w:sz w:val="18"/>
        </w:rPr>
        <w:t>Lauriston Sharp, “Steel Axes for Stone-Age Australians” (1952)。</w:t>
      </w:r>
      <w:hyperlink r:id="rId11">
        <w:r>
          <w:rPr>
            <w:color w:val="9A4F2B"/>
            <w:u w:val="single"/>
            <w:rFonts w:ascii="Noto Serif CJK SC" w:hAnsi="Noto Serif CJK SC" w:eastAsia="Noto Serif CJK SC" w:cs="Noto Serif CJK SC"/>
          </w:rPr>
          <w:t>打开原始链接</w:t>
        </w:r>
      </w:hyperlink>
    </w:p>
    <w:p>
      <w:pPr>
        <w:pStyle w:val="SourceEntry"/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[2] </w:t>
      </w:r>
      <w:r>
        <w:rPr>
          <w:rFonts w:ascii="Noto Serif CJK SC" w:hAnsi="Noto Serif CJK SC" w:eastAsia="Noto Serif CJK SC" w:cs="Noto Serif CJK SC"/>
          <w:b w:val="0"/>
          <w:color w:val="252525"/>
          <w:sz w:val="18"/>
        </w:rPr>
        <w:t>Richard J. Martin, “Cultural Loss and Compensation in the Anthropology of Aboriginal Australia” (2023)。</w:t>
      </w:r>
      <w:hyperlink r:id="rId12">
        <w:r>
          <w:rPr>
            <w:color w:val="9A4F2B"/>
            <w:u w:val="single"/>
            <w:rFonts w:ascii="Noto Serif CJK SC" w:hAnsi="Noto Serif CJK SC" w:eastAsia="Noto Serif CJK SC" w:cs="Noto Serif CJK SC"/>
          </w:rPr>
          <w:t>打开原始链接</w:t>
        </w:r>
      </w:hyperlink>
    </w:p>
    <w:p>
      <w:pPr>
        <w:pStyle w:val="SourceEntry"/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[3] </w:t>
      </w:r>
      <w:r>
        <w:rPr>
          <w:rFonts w:ascii="Noto Serif CJK SC" w:hAnsi="Noto Serif CJK SC" w:eastAsia="Noto Serif CJK SC" w:cs="Noto Serif CJK SC"/>
          <w:b w:val="0"/>
          <w:color w:val="252525"/>
          <w:sz w:val="18"/>
        </w:rPr>
        <w:t>Lauriston Sharp：伊尔·约伦特人社会组织、仪式与经济活动的早期田野论文。</w:t>
      </w:r>
      <w:hyperlink r:id="rId13">
        <w:r>
          <w:rPr>
            <w:color w:val="9A4F2B"/>
            <w:u w:val="single"/>
            <w:rFonts w:ascii="Noto Serif CJK SC" w:hAnsi="Noto Serif CJK SC" w:eastAsia="Noto Serif CJK SC" w:cs="Noto Serif CJK SC"/>
          </w:rPr>
          <w:t>打开原始链接</w:t>
        </w:r>
      </w:hyperlink>
    </w:p>
    <w:p>
      <w:pPr>
        <w:pStyle w:val="SourceEntry"/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[4] </w:t>
      </w:r>
      <w:r>
        <w:rPr>
          <w:rFonts w:ascii="Noto Serif CJK SC" w:hAnsi="Noto Serif CJK SC" w:eastAsia="Noto Serif CJK SC" w:cs="Noto Serif CJK SC"/>
          <w:b w:val="0"/>
          <w:color w:val="252525"/>
          <w:sz w:val="18"/>
        </w:rPr>
        <w:t>John C. Taylor, Of Acts and Axes (1984)。</w:t>
      </w:r>
      <w:hyperlink r:id="rId14">
        <w:r>
          <w:rPr>
            <w:color w:val="9A4F2B"/>
            <w:u w:val="single"/>
            <w:rFonts w:ascii="Noto Serif CJK SC" w:hAnsi="Noto Serif CJK SC" w:eastAsia="Noto Serif CJK SC" w:cs="Noto Serif CJK SC"/>
          </w:rPr>
          <w:t>打开原始链接</w:t>
        </w:r>
      </w:hyperlink>
    </w:p>
    <w:p>
      <w:pPr>
        <w:pStyle w:val="SourceEntry"/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[5] </w:t>
      </w:r>
      <w:r>
        <w:rPr>
          <w:rFonts w:ascii="Noto Serif CJK SC" w:hAnsi="Noto Serif CJK SC" w:eastAsia="Noto Serif CJK SC" w:cs="Noto Serif CJK SC"/>
          <w:b w:val="0"/>
          <w:color w:val="252525"/>
          <w:sz w:val="18"/>
        </w:rPr>
        <w:t>Fredrik Barth, “On the Study of Social Change” (1967)。</w:t>
      </w:r>
      <w:hyperlink r:id="rId15">
        <w:r>
          <w:rPr>
            <w:color w:val="9A4F2B"/>
            <w:u w:val="single"/>
            <w:rFonts w:ascii="Noto Serif CJK SC" w:hAnsi="Noto Serif CJK SC" w:eastAsia="Noto Serif CJK SC" w:cs="Noto Serif CJK SC"/>
          </w:rPr>
          <w:t>打开原始链接</w:t>
        </w:r>
      </w:hyperlink>
    </w:p>
    <w:p>
      <w:pPr>
        <w:pStyle w:val="SourceEntry"/>
      </w:pPr>
      <w:r>
        <w:rPr>
          <w:rFonts w:ascii="Noto Sans CJK SC" w:hAnsi="Noto Sans CJK SC" w:eastAsia="Noto Sans CJK SC" w:cs="Noto Sans CJK SC"/>
          <w:b/>
          <w:color w:val="9A4F2B"/>
          <w:sz w:val="18"/>
        </w:rPr>
        <w:t xml:space="preserve">[项目资料] </w:t>
      </w:r>
      <w:r>
        <w:rPr>
          <w:rFonts w:ascii="Noto Serif CJK SC" w:hAnsi="Noto Serif CJK SC" w:eastAsia="Noto Serif CJK SC" w:cs="Noto Serif CJK SC"/>
          <w:b w:val="0"/>
          <w:color w:val="252525"/>
          <w:sz w:val="18"/>
        </w:rPr>
        <w:t>《技术与社会制度影响》与《钢斧与权力重构》项目内部资料。</w:t>
      </w:r>
    </w:p>
    <w:p>
      <w:pPr>
        <w:spacing w:before="560"/>
        <w:jc w:val="center"/>
        <w:pBdr>
          <w:bottom w:val="single" w:sz="5" w:space="6" w:color="C9B8AA"/>
        </w:pBdr>
      </w:pPr>
      <w:r>
        <w:rPr>
          <w:rFonts w:ascii="Noto Sans CJK SC" w:hAnsi="Noto Sans CJK SC" w:eastAsia="Noto Sans CJK SC" w:cs="Noto Sans CJK SC"/>
          <w:b w:val="0"/>
          <w:color w:val="6B625D"/>
          <w:sz w:val="17"/>
        </w:rPr>
        <w:t>本文件为《钢斧之后》序章排版稿。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89" w:right="1332" w:bottom="1276" w:left="1446" w:header="652" w:footer="65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654"/>
      <w:gridCol w:w="1474"/>
    </w:tblGrid>
    <w:tr>
      <w:tc>
        <w:tcPr>
          <w:tcW w:type="dxa" w:w="4564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4" w:color="C9B8AA"/>
          </w:tcBorders>
        </w:tcPr>
        <w:p>
          <w:pPr>
            <w:spacing w:before="60"/>
            <w:jc w:val="left"/>
          </w:pPr>
          <w:r>
            <w:rPr>
              <w:rFonts w:ascii="Noto Sans CJK SC" w:hAnsi="Noto Sans CJK SC" w:eastAsia="Noto Sans CJK SC" w:cs="Noto Sans CJK SC"/>
              <w:b w:val="0"/>
              <w:color w:val="6B625D"/>
              <w:sz w:val="16"/>
            </w:rPr>
            <w:t>技术如何重写权力、制度与人的生活</w:t>
          </w:r>
        </w:p>
      </w:tc>
      <w:tc>
        <w:tcPr>
          <w:tcW w:type="dxa" w:w="4564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4" w:color="C9B8AA"/>
          </w:tcBorders>
        </w:tcPr>
        <w:p>
          <w:pPr>
            <w:spacing w:before="60"/>
            <w:jc w:val="right"/>
          </w:pPr>
          <w:r>
            <w:rPr>
              <w:rFonts w:ascii="Noto Sans CJK SC" w:hAnsi="Noto Sans CJK SC" w:eastAsia="Noto Sans CJK SC" w:cs="Noto Sans CJK SC"/>
              <w:color w:val="6B625D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3" w:color="C9B8AA"/>
      </w:pBdr>
    </w:pPr>
    <w:r>
      <w:rPr>
        <w:rFonts w:ascii="Noto Sans CJK SC" w:hAnsi="Noto Sans CJK SC" w:eastAsia="Noto Sans CJK SC" w:cs="Noto Sans CJK SC"/>
        <w:b/>
        <w:color w:val="6B625D"/>
        <w:sz w:val="17"/>
      </w:rPr>
      <w:t>《钢斧之后》</w:t>
    </w:r>
    <w:r>
      <w:rPr>
        <w:rFonts w:ascii="Noto Sans CJK SC" w:hAnsi="Noto Sans CJK SC" w:eastAsia="Noto Sans CJK SC" w:cs="Noto Sans CJK SC"/>
        <w:b w:val="0"/>
        <w:color w:val="6B625D"/>
        <w:sz w:val="17"/>
      </w:rPr>
      <w:t xml:space="preserve">  ·  序章  钢斧砍断的不是木头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72" w:lineRule="auto" w:after="110"/>
      <w:ind w:firstLine="432"/>
    </w:pPr>
    <w:rPr>
      <w:rFonts w:ascii="Noto Serif CJK SC" w:hAnsi="Noto Serif CJK SC" w:eastAsia="Noto Serif CJK SC" w:cs="Noto Serif CJK SC"/>
      <w:b w:val="0"/>
      <w:color w:val="2525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40" w:after="180"/>
      <w:ind w:firstLine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52525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20" w:after="120"/>
      <w:ind w:firstLine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9A4F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80"/>
      <w:ind w:firstLine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525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2525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Noto Serif CJK SC" w:hAnsi="Noto Serif CJK SC" w:eastAsia="Noto Serif CJK SC" w:cs="Noto Serif CJK SC"/>
      <w:b w:val="0"/>
      <w:i/>
      <w:iCs/>
      <w:color w:val="6B625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96" w:lineRule="auto" w:after="140"/>
      <w:ind w:firstLine="464"/>
    </w:pPr>
    <w:rPr>
      <w:rFonts w:ascii="Noto Serif CJK SC" w:hAnsi="Noto Serif CJK SC" w:eastAsia="Noto Serif CJK SC" w:cs="Noto Serif CJK SC"/>
      <w:b w:val="0"/>
      <w:color w:val="252525"/>
      <w:sz w:val="23"/>
    </w:rPr>
  </w:style>
  <w:style w:type="paragraph" w:customStyle="1" w:styleId="SmallMeta">
    <w:name w:val="Small Meta"/>
    <w:pPr>
      <w:spacing w:after="60"/>
      <w:ind w:firstLine="0"/>
    </w:pPr>
    <w:rPr>
      <w:rFonts w:ascii="Noto Sans CJK SC" w:hAnsi="Noto Sans CJK SC" w:eastAsia="Noto Sans CJK SC" w:cs="Noto Sans CJK SC"/>
      <w:b w:val="0"/>
      <w:color w:val="6B625D"/>
      <w:sz w:val="17"/>
    </w:rPr>
  </w:style>
  <w:style w:type="paragraph" w:customStyle="1" w:styleId="DisplayEmphasis">
    <w:name w:val="Display Emphasis"/>
    <w:pPr>
      <w:keepLines/>
      <w:spacing w:before="200" w:after="240"/>
      <w:ind w:firstLine="0"/>
      <w:jc w:val="center"/>
    </w:pPr>
    <w:rPr>
      <w:rFonts w:ascii="Noto Sans CJK SC" w:hAnsi="Noto Sans CJK SC" w:eastAsia="Noto Sans CJK SC" w:cs="Noto Sans CJK SC"/>
      <w:b/>
      <w:color w:val="9A4F2B"/>
      <w:sz w:val="40"/>
    </w:rPr>
  </w:style>
  <w:style w:type="paragraph" w:customStyle="1" w:styleId="TOCMajor">
    <w:name w:val="TOC Major"/>
    <w:pPr>
      <w:spacing w:after="80"/>
      <w:ind w:left="142" w:firstLine="0"/>
    </w:pPr>
    <w:rPr>
      <w:rFonts w:ascii="Noto Sans CJK SC" w:hAnsi="Noto Sans CJK SC" w:eastAsia="Noto Sans CJK SC" w:cs="Noto Sans CJK SC"/>
      <w:b w:val="0"/>
      <w:color w:val="252525"/>
      <w:sz w:val="20"/>
    </w:rPr>
  </w:style>
  <w:style w:type="paragraph" w:customStyle="1" w:styleId="SourceEntry">
    <w:name w:val="Source Entry"/>
    <w:pPr>
      <w:spacing w:after="80" w:line="324" w:lineRule="auto"/>
      <w:ind w:left="198" w:hanging="198"/>
    </w:pPr>
    <w:rPr>
      <w:rFonts w:ascii="Noto Serif CJK SC" w:hAnsi="Noto Serif CJK SC" w:eastAsia="Noto Serif CJK SC" w:cs="Noto Serif CJK SC"/>
      <w:b w:val="0"/>
      <w:color w:val="252525"/>
      <w:sz w:val="18"/>
    </w:rPr>
  </w:style>
  <w:style w:type="paragraph" w:customStyle="1" w:styleId="Checklist">
    <w:name w:val="Checklist"/>
    <w:pPr>
      <w:spacing w:after="80"/>
      <w:ind w:left="227" w:firstLine="0"/>
    </w:pPr>
    <w:rPr>
      <w:rFonts w:ascii="Noto Serif CJK SC" w:hAnsi="Noto Serif CJK SC" w:eastAsia="Noto Serif CJK SC" w:cs="Noto Serif CJK SC"/>
      <w:b w:val="0"/>
      <w:color w:val="25252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ly-tangerine-jegb.squarespace.com/s/steel-Axes-cape-york-paper-l-sharp.pdf" TargetMode="External"/><Relationship Id="rId12" Type="http://schemas.openxmlformats.org/officeDocument/2006/relationships/hyperlink" Target="https://doi.org/10.1111/amet.13223" TargetMode="External"/><Relationship Id="rId13" Type="http://schemas.openxmlformats.org/officeDocument/2006/relationships/hyperlink" Target="https://onlinelibrary.wiley.com/doi/10.1002/j.1834-4461.1934.tb00129.x" TargetMode="External"/><Relationship Id="rId14" Type="http://schemas.openxmlformats.org/officeDocument/2006/relationships/hyperlink" Target="https://researchonline.jcu.edu.au/15001/1/JCU_15001_Taylor_1984_thesis.pdf" TargetMode="External"/><Relationship Id="rId15" Type="http://schemas.openxmlformats.org/officeDocument/2006/relationships/hyperlink" Target="https://www.jstor.org/stable/6696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《钢斧之后》序章：钢斧砍断的不是木头</dc:title>
  <dc:subject>技术如何重写权力、制度与人的生活</dc:subject>
  <dc:creator>python-docx</dc:creator>
  <cp:keywords>技术史, 社会制度, 钢斧, 权力, 人类学</cp:keywords>
  <dc:description>排版审阅版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