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40"/>
        <w:jc w:val="center"/>
      </w:pPr>
      <w:r>
        <w:rPr>
          <w:rFonts w:ascii="Noto Sans CJK SC" w:hAnsi="Noto Sans CJK SC" w:eastAsia="Noto Sans CJK SC"/>
          <w:b/>
          <w:color w:val="2B6F6D"/>
          <w:sz w:val="25"/>
        </w:rPr>
        <w:t>第一编</w:t>
      </w:r>
    </w:p>
    <w:p>
      <w:pPr>
        <w:widowControl/>
        <w:spacing w:before="520" w:after="200"/>
        <w:jc w:val="center"/>
      </w:pPr>
      <w:r>
        <w:rPr>
          <w:rFonts w:ascii="Noto Serif CJK SC" w:hAnsi="Noto Serif CJK SC" w:eastAsia="Noto Serif CJK SC"/>
          <w:b w:val="0"/>
          <w:color w:val="374141"/>
          <w:sz w:val="34"/>
        </w:rPr>
        <w:t>技术不是工具，而是秩序</w:t>
      </w:r>
    </w:p>
    <w:p>
      <w:pPr>
        <w:spacing w:before="160" w:after="160"/>
        <w:widowControl/>
        <w:pBdr>
          <w:bottom w:val="single" w:sz="6" w:space="1" w:color="B8C7C5"/>
        </w:pBdr>
      </w:pPr>
    </w:p>
    <w:p>
      <w:pPr>
        <w:widowControl/>
        <w:spacing w:before="560" w:after="240"/>
        <w:jc w:val="center"/>
      </w:pPr>
      <w:r>
        <w:rPr>
          <w:rFonts w:ascii="Noto Sans CJK SC" w:hAnsi="Noto Sans CJK SC" w:eastAsia="Noto Sans CJK SC"/>
          <w:b/>
          <w:color w:val="1F4E4D"/>
          <w:sz w:val="50"/>
        </w:rPr>
        <w:t>第四章　技术为什么不会自动产生同一种社会</w:t>
      </w:r>
    </w:p>
    <w:p>
      <w:pPr>
        <w:widowControl/>
        <w:spacing w:after="520"/>
        <w:jc w:val="center"/>
      </w:pPr>
      <w:r>
        <w:rPr>
          <w:rFonts w:ascii="Noto Serif CJK SC" w:hAnsi="Noto Serif CJK SC" w:eastAsia="Noto Serif CJK SC"/>
          <w:i w:val="0"/>
          <w:color w:val="585E5E"/>
          <w:sz w:val="27"/>
        </w:rPr>
        <w:t>为什么相同的机器进入不同国家，会长成不同的制度？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50"/>
      </w:tblGrid>
      <w:tr>
        <w:tc>
          <w:tcPr>
            <w:tcW w:type="dxa" w:w="9213"/>
            <w:shd w:fill="EEF3F2"/>
            <w:tcBorders>
              <w:top w:val="single" w:sz="8" w:color="A5BAB7"/>
              <w:left w:val="single" w:sz="8" w:color="A5BAB7"/>
              <w:bottom w:val="single" w:sz="8" w:color="A5BAB7"/>
              <w:right w:val="single" w:sz="8" w:color="A5BAB7"/>
            </w:tcBorders>
          </w:tcPr>
          <w:p>
            <w:pPr>
              <w:spacing w:before="200" w:after="200"/>
              <w:ind w:left="198" w:right="198"/>
              <w:jc w:val="center"/>
            </w:pPr>
            <w:r>
              <w:rPr>
                <w:rFonts w:ascii="Noto Serif CJK SC" w:hAnsi="Noto Serif CJK SC" w:eastAsia="Noto Serif CJK SC"/>
                <w:b/>
                <w:color w:val="263D3C"/>
                <w:sz w:val="26"/>
              </w:rPr>
              <w:t>历史真正竞争的不是技术，而是“技术—制度组合”。</w:t>
            </w:r>
          </w:p>
        </w:tc>
      </w:tr>
    </w:tbl>
    <w:p>
      <w:pPr>
        <w:widowControl/>
        <w:spacing w:before="1600"/>
        <w:jc w:val="center"/>
      </w:pPr>
      <w:r>
        <w:rPr>
          <w:rFonts w:ascii="Noto Serif CJK SC" w:hAnsi="Noto Serif CJK SC" w:eastAsia="Noto Serif CJK SC"/>
          <w:color w:val="6E7373"/>
          <w:sz w:val="21"/>
        </w:rPr>
        <w:t>《钢斧之后：技术如何重写权力、制度与人的生活》</w:t>
      </w:r>
    </w:p>
    <w:p>
      <w:pPr>
        <w:widowControl/>
        <w:sectPr>
          <w:pgSz w:w="11906" w:h="16838"/>
          <w:pgMar w:top="1361" w:right="1304" w:bottom="1247" w:left="1389" w:header="720" w:footer="720" w:gutter="0"/>
          <w:cols w:space="720"/>
          <w:titlePg/>
          <w:docGrid w:linePitch="360"/>
        </w:sectPr>
      </w:pPr>
    </w:p>
    <w:p>
      <w:pPr>
        <w:widowControl/>
        <w:spacing w:before="40" w:after="60"/>
        <w:jc w:val="center"/>
      </w:pPr>
      <w:r>
        <w:rPr>
          <w:rFonts w:ascii="Noto Sans CJK SC" w:hAnsi="Noto Sans CJK SC" w:eastAsia="Noto Sans CJK SC"/>
          <w:b/>
          <w:color w:val="1F4E4D"/>
          <w:sz w:val="40"/>
        </w:rPr>
        <w:t>第四章　技术为什么不会自动产生同一种社会</w:t>
      </w:r>
    </w:p>
    <w:p>
      <w:pPr>
        <w:widowControl/>
        <w:spacing w:after="280"/>
        <w:jc w:val="center"/>
      </w:pPr>
      <w:r>
        <w:rPr>
          <w:rFonts w:ascii="Noto Serif CJK SC" w:hAnsi="Noto Serif CJK SC" w:eastAsia="Noto Serif CJK SC"/>
          <w:color w:val="5F6666"/>
          <w:sz w:val="23"/>
        </w:rPr>
        <w:t>为什么相同的机器进入不同国家，会长成不同的制度？</w:t>
      </w:r>
    </w:p>
    <w:p>
      <w:pPr>
        <w:pStyle w:val="Heading3"/>
        <w:widowControl/>
      </w:pPr>
      <w:r>
        <w:rPr>
          <w:rFonts w:ascii="Noto Sans CJK SC" w:hAnsi="Noto Sans CJK SC" w:eastAsia="Noto Sans CJK SC"/>
          <w:color w:val="1F4E4D"/>
          <w:sz w:val="23"/>
        </w:rPr>
        <w:t>备选标题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1. </w:t>
      </w:r>
      <w:r>
        <w:rPr>
          <w:rFonts w:ascii="Noto Serif CJK SC" w:hAnsi="Noto Serif CJK SC" w:eastAsia="Noto Serif CJK SC"/>
          <w:b/>
          <w:sz w:val="22"/>
        </w:rPr>
        <w:t>《同一台印刷机，两种历史》：技术为什么不会替社会写好结局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2. </w:t>
      </w:r>
      <w:r>
        <w:rPr>
          <w:rFonts w:ascii="Noto Serif CJK SC" w:hAnsi="Noto Serif CJK SC" w:eastAsia="Noto Serif CJK SC"/>
          <w:b/>
          <w:sz w:val="22"/>
        </w:rPr>
        <w:t>《机器没有政治立场》：国家、市场与共同体怎样争夺技术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3. </w:t>
      </w:r>
      <w:r>
        <w:rPr>
          <w:rFonts w:ascii="Noto Serif CJK SC" w:hAnsi="Noto Serif CJK SC" w:eastAsia="Noto Serif CJK SC"/>
          <w:b/>
          <w:sz w:val="22"/>
        </w:rPr>
        <w:t>《历史竞争的不是发明》：谁能组成更有力量的技术—制度组合</w:t>
      </w:r>
    </w:p>
    <w:p>
      <w:pPr>
        <w:pStyle w:val="Heading3"/>
        <w:widowControl/>
      </w:pPr>
      <w:r>
        <w:rPr>
          <w:rFonts w:ascii="Noto Sans CJK SC" w:hAnsi="Noto Sans CJK SC" w:eastAsia="Noto Sans CJK SC"/>
          <w:color w:val="1F4E4D"/>
          <w:sz w:val="23"/>
        </w:rPr>
        <w:t>核心命题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技术提供新的行动能力，却不规定这种能力由谁掌握、服务什么目标、产生何种秩序；真正决定历史方向的，是技术与产权、组织、法律、教育和权力结构形成的组合。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章节导语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大约1454年，德国美因茨的一间作坊里，一批拉丁文《圣经》陆续完成印刷。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铅制字模被排列、上墨，再压到纸张上。字模可以拆下，重新组合。一个页面印完，字母还可以继续组成下一个页面。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这种技术后来与宗教改革、城市出版、方言传播和公共论战联系在一起。马丁·路德的著作能够迅速越过城市和领地边界，印刷是重要条件之一。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[1]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但这并不是人类第一次使用活字。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四百多年前的北宋，平民工匠毕昇已经在庆历年间，也就是1041年至1048年之间，制作出胶泥活字。沈括后来在《梦溪笔谈》中记录了这套方法。中国的雕版印刷出现得更早，至宋代已经与经典传播、政府文书、教育考试和商业出版紧密结合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[2]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两地都拥有纸张。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都拥有识字人群。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都拥有城市、市场和政治权力。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都可以把文字大量复制。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但印刷术并没有把中国和欧洲推向同一种社会。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在宋代中国，印刷扩大了书籍流通，支持科举教育、经典标准化、商业文化和文书行政，也使私人出版与市场力量得到发展。欧洲印刷则进入一个教会权威受到挑战、城市出版商活跃、方言市场扩大、大学网络生长、政治权力长期分散的世界。它既帮助改革者传播，也帮助教会、君主和国家进行审查与宣传。中国印刷史同样远比“官方垄断经典”更丰富，晚期帝制中国存在活跃的商业书市、地方出版和大众阅读文化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[3]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于是，一个反常识的问题出现了：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如果技术具有相同的基本能力，为什么它会支持不同的权力结构、知识秩序和政治结果？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最方便的回答是：中国和欧洲“文化不同”。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但这句话几乎没有解释任何事情。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文化为什么不同？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哪些差异真正影响了印刷？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政治统一、城市结构、考试制度、宗教组织、文字系统、商业网络和产权规则，分别发挥了什么作用？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更重要的是，这些制度只是被动接受印刷术，还是也在选择印刷术应当以什么形式发展？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本章要建立的，是第一编最后一块分析工具：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技术不是一颗落入社会的种子，独自按照内部基因长成大树。社会早已存在土壤、气候、围墙、灌溉和园丁。种子改变花园，花园也筛选种子。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SC" w:hAnsi="Noto Sans CJK SC" w:eastAsia="Noto Sans CJK SC"/>
          <w:color w:val="1F4E4D"/>
          <w:sz w:val="33"/>
        </w:rPr>
        <w:t>一、技术决定论的问题：把可能性误写成必然性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技术决定论有一种极具诱惑力的叙事形式。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它通常只需要三句话：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某项技术出现了。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社会旧结构无法抵抗。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一种新制度因此诞生。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按照这种写法：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铁器摧毁贵族制度。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印刷创造宗教改革和民主。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火药制造中央集权国家。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蒸汽机产生资本主义。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互联网带来自由社会。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人工智能必然消灭某些职业，甚至必然产生某种未来政治。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每个判断都抓住了一部分真实机制。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问题在于，它们把“能够促进”改写成了“必然产生”。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1. 技术确实不是无关紧要的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反对技术决定论，并不意味着技术只是社会观念的装饰。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一把铁犁与一根木棍，能够处理的土地不同。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印刷机与手工抄写，能够复制的文本数量不同。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铁路与马车，能够组织的市场范围不同。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数据库与纸质档案，能够检索和连接的信息规模不同。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技术具有真实的物质约束。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它使一部分行动成为可能，使另一部分行动成本下降，也可能让某些旧制度越来越难以维持。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没有廉价印刷，欧洲宗教论战不可能以同样的速度和规模展开。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没有蒸汽动力和化石能源，近代工厂不可能以同样方式突破水力、风力和土地所形成的能源边界。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没有铁路和电报，国家与大型企业也难以在同样广阔的范围内进行实时协调。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技术不是幻觉。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但它更像一组新出现的能力，而不是一份写好结局的命令。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2. 同一种能力可以被不同主体使用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印刷可以复制批评统治者的文字，也可以复制统治者的命令。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铁路可以帮助商人开拓市场，也可以帮助国家征税、移民和控制边疆。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无线电可以帮助社会运动组织成员，也可以帮助政府进行全国宣传。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数据库可以扩大公共服务，也可以扩大监控。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人工智能可以让普通人获得初步解释，也可以加强企业对劳动过程的考核。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同一种技术之所以能够产生相反结果，是因为技术通常只规定“能做什么”，并不独自规定：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谁拥有设备；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谁支付成本；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谁决定用途；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谁获得收益；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谁承担风险；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谁有权拒绝；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谁可以修改系统。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第一章已经区分了技术与制度：技术主要回答“怎样完成”，制度则回答“谁有资格、谁应当、谁负责”。两者相互嵌入，却不能被当成同一种力量。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3. 技术改变博弈条件，而不是取消博弈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一项新技术进入社会以后，旧角色不会排成整齐队列，等待机器宣布结果。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国家、企业、职业团体、地方共同体、劳动者和消费者，会试图把新能力纳入自己熟悉的规则。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拥有土地的人可能用农业机械扩大经营规模。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小农也可能通过合作购买设备，维持家庭经营。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工厂主可以用机器拆分技能、加强监督。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工人也可能通过组织谈判，要求缩短工时、提高工资或者分享生产率收益。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学校可以把计算机变成加强统一考试的工具。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教师也可以用它发展开放课程和个性化学习。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技术改变的是各方可以采取的策略、结盟方式和退出成本。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结果仍然要经过冲突、谈判、立法和组织调整。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因此，更准确的因果链不是：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技术出现 → 制度必然改变。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而是：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技术改变行动能力 → 不同主体围绕新能力竞争 → 既有制度筛选、限制或放大某些用途 → 新的利益和组织逐渐形成 → 技术与制度共同稳定下来。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4. “印刷产生民主”为什么不成立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印刷确实降低了文本复制成本。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但复制成本下降以后，可能出现许多不同后果：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宗教经典更容易传播；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官方命令更容易标准化；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考试教材更容易普及；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商业广告更容易扩张；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异端观点更容易流通；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审查名单也更容易复制；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民族主义、阴谋论和战争宣传同样可以扩大。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印刷不是自由思想的天然盟友。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它是复制能力的扩大。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至于什么内容获得纸张、资本、销售渠道、法律保护和政治安全，仍然取决于制度。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欧洲印刷与宗教改革的联系，也不能简化为“机器击败教会”。路德文本的传播需要读者、城市印刷商、方言市场、政治保护者和教会内部既有冲突。印刷放大了裂缝，却不是裂缝的唯一来源。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[1]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同样，中国印刷没有“失败”于制造欧洲式宗教改革。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它成功服务了另一组高度真实的社会需求：经典整理、考试教育、历书传播、佛道经籍、地方志、商业读物和官僚行政。宋代印刷的扩展还与商业经济发展、社会流动和国家职能向市场与社会扩散相互联系。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[4]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技术决定论最大的错误，不是高估技术的力量。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而是把技术的力量错误地理解为只有一个方向。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color w:val="1F4E4D"/>
          <w:sz w:val="33"/>
        </w:rPr>
        <w:t>二、制度互补：一项技术需要什么“社会插座”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一台电器只有接入合适的电压、插头和电网，才能持续运行。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技术进入社会时也一样。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机器可以被制造出来，却未必拥有适合它的融资方式、产权规则、组织结构、技能体系和责任制度。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本书把这些条件称为</w:t>
      </w:r>
      <w:r>
        <w:rPr>
          <w:rFonts w:ascii="Noto Serif CJK SC" w:hAnsi="Noto Serif CJK SC" w:eastAsia="Noto Serif CJK SC"/>
          <w:b/>
          <w:sz w:val="22"/>
        </w:rPr>
        <w:t>制度互补</w:t>
      </w:r>
      <w:r>
        <w:rPr>
          <w:rFonts w:ascii="Noto Serif CJK SC" w:hAnsi="Noto Serif CJK SC" w:eastAsia="Noto Serif CJK SC"/>
          <w:sz w:val="22"/>
        </w:rPr>
        <w:t>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所谓互补，是指一种条件的存在，提高了另一种条件的价值。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铁路与统一轨距互补。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汽车与公路、燃料、驾驶规则和保险互补。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计算机与数据库、软件、培训和组织流程互补。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人工智能与高质量数据、计算基础设施、业务权限、验证流程和责任安排互补。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缺少互补制度时，新工具可能只是更昂贵的旧工具。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相关经济研究也反复指出，电力、信息技术等通用技术的收益，往往要等到企业完成组织设计、人员技能和流程上的配套投入后才逐渐显现。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[5]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1. 产权决定谁愿意投入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一项技术从原型变成大规模系统，需要有人承担早期成本。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这首先涉及产权和收益预期。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谁拥有设备？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改进产生的收益归谁？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技术失败造成的损失由谁承担？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发明能否被模仿？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基础设施能否向竞争者开放？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产权越清楚，不一定意味着私人产权越强。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不同技术可能需要不同安排。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一间小作坊的工具可以由经营者拥有。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一条跨越多个地区的铁路，需要处理征地、通行权、公共安全和网络接入。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水利设施可能由国家建设，也可能由村社、土地所有者或合作组织共同维护。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互联网协议的价值则部分来自开放兼容，而不是由某一家企业排他占有。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产权的关键并不只是“公有还是私有”。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更重要的是：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谁能够作出长期投资；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谁有权排除他人；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谁可以接入系统；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谁能分享改进收益；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谁必须对破坏性后果负责。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2. 金融决定技术能否越过早期亏损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许多技术在刚出现时成本高、需求不明，必须经过多年建设才能产生收益。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铁路、电网、通信网络、芯片工厂和大型计算基础设施，都需要把今天的资金投入一个尚未完全确定的未来。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金融制度决定哪些风险可以被承担。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银行信贷、股份公司、政府预算、公共债务、风险投资和社区融资，并不是技术完成后的附属工具。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它们决定了哪些技术路线能够活到成熟。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同样拥有工程知识的社会，如果融资期限、风险承担和资本组织方式不同，技术扩散速度也会不同。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市场偏好短期收益时，回报周期漫长的公共基础设施可能投资不足。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国家集中资源时，可以建设规模巨大的系统，却也可能把资金锁入错误路线。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金融没有替技术决定性能。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它决定哪些性能有机会被反复改进。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3. 法律决定能力可以用到哪里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一项技术“能够做到”，不等于社会“允许这样做”。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印刷机能够复制任何可以排版的文字。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出版法、审查制度和版权制度决定哪些文字可以公开销售。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数据库可以连接不同记录。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隐私规则、证据规则和行政程序决定这些记录能否用于招聘、信贷、教育或执法。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人工智能可以生成建议。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责任制度决定建议能否直接变成正式决定，也决定错误发生时由开发者、部署机构、使用者还是最终批准者负责。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法律还会反过来改变产品设计。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如果系统必须保存审计记录，开发者就要增加记录功能。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如果用户有权转移数据，平台就要提供可携带接口。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如果自动决定必须允许申诉，组织就不能只保留一个无法解释的结果。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制度不是在技术完成后贴上的标签。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它会进入技术本身。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4. 教育决定谁能够成为使用者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技术普及需要知识。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但不同技术需要的知识并不相同。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印刷需要排字、校勘、纸墨制造、编辑、发行，也需要足够多的识字读者。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工厂需要操作人员、维修工、工程师和管理者。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铁路需要司机、调度员、测量人员和统一的安全规范。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数字技术不仅需要程序员，也需要普通人理解账号、身份、数据和风险。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教育制度决定技能如何传播，也决定哪些群体能够进入新岗位。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如果技术扩散快于教育更新，社会可能同时出现两种现象：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企业声称缺少人才；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大量旧岗位劳动者却找不到进入新体系的路径。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这并非简单的“个人没有努力学习”。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它说明技术更新与教育组织没有形成互补。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5. 组织决定技术是否只是“更快的旧世界”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第一章讨论电气化时已经看到：早期工厂即使换上电动机，也可能继续按照蒸汽时代的中央传动方式布置车间。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电动机变了。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厂房、工序和管理方式没有变。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真正的生产率提升，需要把动力分散到单台机器，重新设计物料路线、岗位和管理流程。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今天的人工智能也可能经历同样过程。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一家机构购买模型服务，并不意味着它已经完成智能化。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它可能只是让员工更快填写旧表格、更快撰写旧汇报、更快通过旧审批链。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这种组织得到的不是新制度。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而是加速运行的旧制度。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新工具接入旧流程，首先产生的通常是更快的旧世界。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只有当组织重新考虑信息为何传递、谁需要批准、哪些步骤可以取消、哪些判断必须保留人工责任时，技术潜力才可能真正释放。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6. 技术组合的力量来自互相强化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当产权、金融、法律、教育和组织彼此配合时，会出现自我强化：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明确的收益安排吸引投资；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投资支持基础设施建设；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基础设施扩大用户；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用户增加促使教育和服务体系发展；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技能与市场扩大进一步降低成本；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法律开始围绕新技术形成稳定预期；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稳定预期又吸引更多投资。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反过来，互补条件也可能形成恶性循环：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市场太小，因此无人投资；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无人投资，因此成本高；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成本高，因此用户少；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用户少，因此学校不培训人才；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缺少人才，又进一步提高成本。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技术路线的竞争，因而不只是两台机器比较性能。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它是两套互补系统比较能否形成正循环。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历史上的胜者，未必拥有每一个最好的部件，却往往拥有更能彼此配合的部件。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SC" w:hAnsi="Noto Sans CJK SC" w:eastAsia="Noto Sans CJK SC"/>
          <w:color w:val="1F4E4D"/>
          <w:sz w:val="33"/>
        </w:rPr>
        <w:t>三、路径依赖：过去怎样藏进新机器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假设一座城市从零开始建设交通系统。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规划者可以比较所有道路、车辆和能源方案，再选择成本最低的一种。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但现实中的城市从来不是空地。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道路已经铺设。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住宅已经建成。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居民已经购买车辆。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企业已经选择地址。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维修人员已经接受训练。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法律已经围绕旧系统形成。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一种理论上更好的方案，必须先承担改变这些既有条件的成本。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这就是路径依赖最直观的含义：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过去的选择不仅留下记忆，也留下道路、技能、规则、利益和预期；它们会改变今天每一种选择的成本。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路径依赖研究强调，历史之所以重要，并不只是因为人们怀念过去，而是因为早期选择可能通过投资、学习、协调和制度承诺不断自我强化。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[6]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1. 沉没成本：已经建成的东西很难当作不存在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铁路轨距一旦确定，车辆、车站、维修设备和运输网络就会围绕它建设。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更换轨距不能只移动两根铁轨。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整个系统都要调整。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城市按照汽车设计以后，改用公共交通不仅需要购买车辆，还要改变道路空间、住宅密度、停车规则和通勤习惯。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组织使用某套数据库多年以后，更换软件也不仅是安装新程序。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历史记录、业务接口、人员权限和责任流程都要迁移。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昨天的投资在今天看来可能已经不是最佳方案。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但它依然真实存在。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这就是沉没成本的制度力量。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2. 协调效应：大家使用什么，往往比什么单独最好更重要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语言、货币、轨距、插头和文件格式都具有协调性质。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一个人独自采用更优标准，未必得到收益。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只有其他人也采用，兼容价值才会出现。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因此，某种方案一旦拥有足够多的使用者，后来者就倾向于继续加入。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他们不一定认为它完美。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只是发现：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与现有系统兼容，比独自选择更优方案更加重要。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标准因而可能形成自我强化：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使用者越多 → 配套产品越多 → 学习和转换成本越低 → 后来者越愿意采用 → 使用者继续增加。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第三章已经讨论过，标准看起来只是技术参数，却可能像技术系统的宪法一样规定连接条件。路径依赖则进一步说明：标准的权力不仅来自今天的制定者，也来自昨天已经完成的协调。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3. 学习效应：人会把旧制度练进身体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熟练不仅存在于书本。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它也存在于动作、判断和习惯中。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雕版工匠知道怎样选择木材、雕刻反字、校正页面。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活字系统则需要制作、分类、寻找和保存大量单字。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在不同文字结构、文本需求、工资水平和工匠传统下，两种印刷方式的相对成本并不相同。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一种新方法在实验中可行，不等于能够立刻替代已经积累数代技能的旧工艺。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组织也是如此。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官员熟悉某种文书格式。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教师熟悉某种课程。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管理者熟悉某种汇报链。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企业熟悉某种利润模型。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新技术提出另一种流程时，旧技能拥有者不仅面临学习成本，也可能面临身份和权力损失。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于是，对旧路径的维护会同时来自效率惯性和利益防卫。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4. 预期效应：人们根据别人将做什么来行动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一种技术是否成功，部分取决于人们是否相信它会成功。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企业只有相信用户会出现，才愿意建设服务。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用户只有相信服务会持续，才愿意购买设备。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学校只有相信行业需要人才，才愿意开设课程。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金融机构只有相信配套制度能够形成，才愿意提供长期资金。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预期会自我实现。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大家相信某条路线将成为主流，就会把资源投入这条路线。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资源越多，路线越可能真正成为主流。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技术竞争因此不只是工程竞赛，也是信心与联盟的竞赛。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5. 路径依赖不等于历史宿命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“历史影响未来”是一句正确但过于宽泛的话。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并非一切持续存在的制度都属于严格意义上的路径依赖，也不能因为某种制度长期存在，就断定它一定低效或永远无法改变。相关研究特别提醒，应当区分一般的制度惯性、自我强化过程和最终的锁定状态。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[7]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旧路径可能因多种原因改变：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战争摧毁原有基础设施；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危机使旧规则失去合法性；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新技术大幅降低转换成本；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国家强制统一标准；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竞争者建立足够大的替代网络；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社会运动改变成本分配；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旧制度内部出现可以被重新组合的部分。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路径依赖说明改变为什么困难。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它不说明改变为什么不可能。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历史不是铁轨尽头的一堵墙。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它更像一组已经铺设的轨道：改变方向需要转辙器、动力和组织，而不是一句“采用更先进技术”的口号。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color w:val="1F4E4D"/>
          <w:sz w:val="33"/>
        </w:rPr>
        <w:t>四、国家、市场与共同体：谁来组织新技术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新技术出现以后，社会必须解决三个问题：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谁出资建设？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谁制定使用规则？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谁处理收益和风险？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这些任务通常由三种力量参与：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市场。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共同体。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它们不是互相排斥的三个世界。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现实技术系统通常由三者混合组成，只是权重不同。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1. 国家：用统一能力换取规模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国家擅长处理跨地区、长周期和普遍服务问题。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铁路、电网、供水、通信、公共卫生和基础研究，往往需要巨额投入，收益又可能无法由单一投资者完整收回。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国家可以征税、发行公共债务、统一标准、征用土地，并要求系统覆盖利润较低的地区。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它还能够把技术与法律身份结合。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户籍、证件、货币、度量衡和公共数据库，都需要某种被广泛承认的政治权威。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国家主导的优势包括：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统一接口；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长期投资；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跨区域协调；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公共安全；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普遍服务；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在危机中集中资源。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但同样的能力也可能带来风险：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决策过度集中；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地方知识被忽略；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错误路线被大规模固化；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行政目标压过使用者需求；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基础设施被用于过度控制。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国家能够解决协调失败。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国家自己也可能制造一种更难退出的协调失败。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2. 市场：用试验和选择换取适应速度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市场允许多个企业尝试不同方案。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价格和利润向生产者传递需求信息。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失败项目可以退出，成功方案则获得投资。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在消费产品、软件和部分制造领域，这种分散试验有明显优势。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企业不必等待全国统一计划，就可以测试新设计。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消费者也可以通过购买、拒绝和转换表达选择。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市场主导的优势包括：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快速试错；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对需求变化敏感；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吸引分散资本；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鼓励产品差异；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允许新进入者挑战旧企业。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但市场不会自动提供公平结果。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利润较低的人群可能得不到服务。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网络效应可能使竞争最终走向集中。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企业可能把环境、劳动和公共风险转嫁给社会。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短期回报也可能压缩基础研究和长期基础设施投资。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市场能够发现部分需求。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无法支付的需要，却可能在价格系统中近乎无声。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3. 共同体：用地方知识和关系责任换取适应性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村庄、合作社、行业协会、开源社区、地方组织和用户群体，都可能参与技术治理。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它们通常掌握国家和大型企业难以获得的具体知识：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水渠在哪里最容易堵塞；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哪些家庭在旱季最需要水；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哪种维护方式适合当地地形；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哪些规则会被成员认为公平；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谁曾经破坏约定；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怎样处罚才不会引发更大冲突。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埃莉诺·奥斯特罗姆对公共资源治理的研究表明，复杂资源并非只能在国家控制与私人产权之间二选一。许多共同体能够通过边界、监督、协商和分级制裁形成长期自我治理；她也强调，不存在适用于所有资源的单一制度模板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[8]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共同体治理的优势包括：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利用地方知识；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规则更贴近实际；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成员容易理解因果；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监督与责任具有社会基础；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能够根据环境变化调整。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但共同体也有边界：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规模可能有限；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内部权力不一定平等；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外来者可能被排斥；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地方资源差异会造成服务不均；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跨区域问题需要更高层协调。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共同体不天然温暖。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国家不天然专制。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市场也不天然自由。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它们都是组织资源与权力的方式。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4. 同一套水利，可以长出三种权力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一条灌溉水渠可以由国家部门统一建设和调度。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也可以由土地所有者投资，按照产权或付费分水。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还可以由村庄成员共同维护，按照季节、地块和家庭需要协商。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水渠的物理功能相似：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把水从一处带到另一处。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制度结果却不同：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国家管理可能增强行政能力和统一调度；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私人管理可能强化土地与水权的集中；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共同体管理可能增强地方自治，也可能固化当地既有等级。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“大型灌溉必然产生专制国家”因而过于简单。水利确实需要协调，但协调者可以是官僚、寺庙、地主、村社或多层组织。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5. 最稳定的系统往往是混合系统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国家可以提供基础设施和最低服务。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企业可以进行产品创新和运营。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共同体可以参与监督、维护和规则调整。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三者结合时，技术系统可能同时获得规模、效率和地方适应性。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但混合并不意味着自动平衡。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还要追问：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国家是否真正代表公共利益？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企业是否能够利用信息优势影响规则？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共同体是否拥有实际决定权，还是只承担维护责任？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风险由谁承担？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收益由谁获得？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所谓“公私合作”可能是有效分工。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也可能只是公共部门承担长期风险，私人部门获得稳定收益。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判断技术制度不能只看参与者名单。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要看权利、责任和退出能力如何分配。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color w:val="1F4E4D"/>
          <w:sz w:val="33"/>
        </w:rPr>
        <w:t>五、中心化与分散化：技术为什么总有两张脸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人们经常把某些技术称为“天然去中心化”。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印刷让个人可以接触文本。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互联网让任何终端都能连接网络。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可再生能源允许家庭发电。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人工智能使普通人能够调用复杂认知能力。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这些判断都抓住了真实潜力。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但“能力可以分散”不等于“权力必然分散”。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技术往往同时具有中心化和分散化两种潜力。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最后哪一面被放大，取决于成本结构、所有权、标准和组织方式。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1. 印刷：复制分散，基础设施仍可集中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印刷使文本不必由少数抄写者逐份复制。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作者、宗教团体、商人和地方知识人获得了更多传播机会。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这是一种分散力量。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但印刷也需要纸张、字模、设备、资本、发行和政治许可。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出版商可以形成新的入口。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国家可以登记印刷者、查禁书籍、统一教材。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宗教机构可以大规模复制正统文本。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民族国家可以借助统一语言和教科书扩大文化标准化。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印刷削弱了旧知识垄断。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也为更大规模的宣传和行政统一提供了工具。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2. 电力：能源可以分布，网络调度可以集中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小型发电设备可以服务家庭、工厂或地方社区。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太阳能和储能技术也使部分使用者能够同时成为生产者。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这是电力分散化的潜力。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但现代电力系统需要处理供需平衡、输配电、安全标准和备用能力。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电网规模越大，统一调度的重要性越高。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大型发电、输电和金融投入还可能形成高度集中的企业或公共机构。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能源治理研究因此强调，电力基础设施与监管机构、市场主体和社会规范共同演化，单纯用“集中”或“分散”都难以概括现实系统。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[9]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分布式设备不必然带来分布式权力。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家庭即使安装设备，仍可能依赖电网接口、价格规则、设备供应链、软件和储能系统。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旧的燃料依赖可能下降。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新的材料、制造和调度依赖则会上升。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3. 互联网：协议分散，注意力集中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互联网的基础协议允许不同网络相互连接。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没有一家企业必须拥有全部线路和内容，整个网络才能运行。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这种开放连接孕育了大量网站、论坛和个人服务。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但当信息数量增长，搜索、身份、支付、云服务和内容推荐成为新瓶颈。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用户越集中于少数平台，网络效应越强。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关系、信誉和数据积累又提高了转换成本。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于是出现一个看似矛盾的结构：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底层连接可以分散，上层入口却可以集中。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物理网络不是单一中心，并不意味着经济和认知权力没有中心。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一个平台不必控制整个互联网。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只要控制大量用户进入互联网时首先看到的界面，就可能获得巨大的排序权。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4. 人工智能：能力普及，后台资源可能集中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生成式人工智能可以把写作、翻译、检索、编程和分析能力送到普通终端。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过去需要经过专业人员才能得到的初步答案，现在可能直接获得。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这是认知能力的分散。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但模型训练和大规模部署需要数据、算力、能源、人才和云基础设施。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用户看到的是一个简单输入框。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背后却可能是高度集中的资源系统。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因此，人工智能可能同时造成两种变化：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前台能力更加普及；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后台控制更加集中。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另一方面，本地模型、开放接口、公共计算设施和行业共同基础设施，也可能降低对少数平台的依赖。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技术本身没有预先选择其中一条道路。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选择取决于：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模型和数据的产权；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计算资源的进入条件；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接口是否开放；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用户能否迁移数据；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组织是否允许本地部署；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公共部门是否建设替代能力；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错误责任由谁承担。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人工智能削弱部分知识中介，却可能强化模型、数据、算力和业务权限的控制者。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5. 判断中心化方向的五个条件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一种技术更容易走向中心化，通常与以下条件有关：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固定成本极高；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规模越大，单位成本越低；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网络中其他人越多，使用价值越高；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数据积累能够持续改善服务；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核心接口由少数主体控制。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一种技术更容易支持分散化，则通常需要：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设备可以模块化部署；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不同系统能够互操作；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用户可以携带数据和身份；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转换成本较低；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地方组织拥有维护能力；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参与者能够修改规则或建立替代系统。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因此，“去中心化”不是产品说明中的一个功能。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它是一整套产权、接口、治理和退出制度。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真正的分散权力，不只是许多人拥有终端，而是许多人拥有现实可行的替代路径。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SC" w:hAnsi="Noto Sans CJK SC" w:eastAsia="Noto Sans CJK SC"/>
          <w:color w:val="1F4E4D"/>
          <w:sz w:val="33"/>
        </w:rPr>
        <w:t>六、中国与西方的不同组合：不要把历史差异写成文明天性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比较中国与西方技术史时，最容易落入两种简单故事。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第一种故事认为：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中国善于发明，却不善于把发明转化为现代制度。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第二种故事则认为：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西方因为拥有竞争、市场和科学精神，所以技术必然在那里产生现代化。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两种故事都把漫长历史压缩成一种固定性格。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它们忽略了不同历史阶段的变化。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古代中国并非始终是统一帝国。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春秋战国时期同样存在激烈的多国竞争、联盟、战争、商业扩张和官僚建设。欧洲也并非始终政治分散，更不是从一开始便注定走向自由制度。比较研究已经指出，中国与欧洲的国家体系都经历过战争动员、中央集权和制度竞争，只是后来形成了不同的政治均衡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[10]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所以，真正值得比较的不是两个永恒不变的文明。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而是几个可以观察的制度条件。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1. 政治规模：统一能力与竞争压力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长期统一的大型政治体系，可以集中资源、统一文字和度量衡、建设跨区域基础设施，并把技术迅速纳入行政系统。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它的优势是规模。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一旦中央决定采用某种制度，统一标准可以覆盖广阔地区。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但统一也可能减少替代路线。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如果中心选择限制某种活动，技术和人才寻找其他政治保护者的空间较小。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多国竞争体系则允许人员、资本和思想在不同政治单位之间移动。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一地禁止的出版物，可能在邻国印刷。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一位工匠失去某位君主支持，还可能寻找另一位赞助人。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竞争能够增加试验，也会增加战争、征税和掠夺。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政治分散不必然带来自由。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它首先意味着权力之间存在更多缝隙。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欧洲印刷与宗教改革的结合，就不能脱离这种多政治中心环境。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不同君主、城市和宗教力量各自利用印刷，同时也为对方不能完全控制的信息提供了避难空间。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中国印刷则更容易与跨地区的经典秩序、官僚选拔和统一文书体系结合。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这两种结果不是印刷术的优劣。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它们是政治尺度不同带来的用途差异。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2. 知识组织：考试经典、教会、大学与城市出版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宋代以后，中国的印刷与科举、学校、经典注释和官僚人才选拔形成了强大的互补关系。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考试制造稳定而庞大的文本需求。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印刷降低教材和经典的复制成本。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更多读书人参与考试，又进一步扩大书籍市场。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于是形成一条自我强化的路径：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考试制度 → 经典和教材需求 → 出版扩张 → 识字与教育投入 → 更多考试参与者 → 考试制度的社会影响扩大。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这套组合既支持社会流动，也强化了经典与官僚秩序的中心地位。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欧洲的知识组织则由教会、修道院、大学、城市学校、宫廷和商业出版商共同构成。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它们彼此竞争，也彼此依赖。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印刷进入这个体系以后，可以服务教会，也可以服务教会内部的反对者；可以复制拉丁文经典，也可以扩大方言读者；可以支持大学论辩，也可以服务商业娱乐。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不是欧洲印刷天生多元。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而是它进入了一个权威来源较多、组织边界相互重叠的知识市场。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3. 文字和生产结构：同一原理的相对成本不同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活字印刷的基本原理，是把单个字符制成可以重复排列的字模。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但技术原理相同，不代表生产成本相同。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文字系统需要多少常用字符？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文本是否会反复重印？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一次印量有多大？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排字、检字和保存需要多少劳动？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当地是否已有成熟雕版工匠？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纸张、金属和人工价格如何？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这些条件会改变雕版与活字的相对优势。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毕昇的发明证明活字可以实现。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但中国出版并未因此立即放弃雕版。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对许多需要长期保存版面、内容固定或印量较大的书籍，雕版仍具有现实价值。成熟的雕版工艺、文字结构和既有产业共同影响了技术选择。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这不是“先进发明受到落后文化阻碍”。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而是不同生产条件下，对多种可行技术的选择。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4. 市场结构：不能把中国写成没有商业的社会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传统比较经常把中国描述为国家社会，把欧洲描述为市场社会。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这种二分同样过度简单。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宋代及后续帝制时期，中国拥有广泛的区域市场、商业网络、城市消费和私人出版。学界对晚期帝制中国商业史的理解，早已从“长期停滞”转向研究商人网络、商业扩张及其与国家之间复杂的嵌入关系。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[11]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真正的差异不在于“有没有市场”。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而在于：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商人怎样组织；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城市是否拥有独立政治权利；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公司能否跨越个人寿命；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资本怎样进入国家战争和海外扩张；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国家如何管理商人；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商业组织能否参与制定公共规则。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欧洲部分地区的自治城市、股份组织、公共债务和海洋竞争形成了一组特殊组合。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中国商业则更多嵌入家庭、地方网络、官僚治理和统一帝国的政策框架。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两边都有国家。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都有市场。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差别在于国家与市场怎样彼此进入。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5. 火药：同一种能力进入不同财政体系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火药技术可以改变城防、军队组织、制造和后勤。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但它不会自动产生某一种国家。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在统一帝国中，火药可以进入中央制造、边防和大规模行政配置。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在长期多国竞争中，它可能迫使各国持续筹集军费、扩大税收、发展公共债务，并在失败者与成功者之间进行残酷筛选。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火药增强的不只是一件武器。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它提高了对矿产、工匠、运输、训练和财政的要求。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谁能够把这些条件组织起来，谁才能把技术能力转化为持续的国家能力。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因此，火药对欧洲国家体系的影响，与竞争频率、战争融资和海洋扩张相互连接；在中国，它则进入统一帝国的制造、边防和行政系统。不能把不同结果仅仅归因于技术本身。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6. 航海：到达远方不等于必须建立殖民帝国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船舶、指南针和地图可以扩大航行范围。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但“能够抵达”与“选择占领”之间，仍然隔着产权、军事、金融和政治目标。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远洋能力可以服务外交使团。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可以服务商人贸易。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可以服务渔业和移民。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也可以服务武装公司、种植园和殖民国家。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欧洲远洋扩张之所以转化为殖民体系，不只是船更好。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它还与多国竞争、商业融资、武装组织、土地占领制度和海外商品需求结合。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同样，某一时期中国国家减少官方远航，也不等于航海知识立即消失。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技术路线可能转入民间贸易、沿海运输或其他用途。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国家政策能够改变资源投入。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却很少像关闭开关一样，让所有相关能力瞬间归零。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7. 比较的重点是组合，而不是文明排名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讨论中国与西方技术史时，不应只问：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谁最先发明？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谁错过了机会？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谁更重视科学？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更有解释力的问题是：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技术进入了怎样的国家结构？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谁为它融资？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它服务于什么稳定需求？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使用者能否在不同政治中心之间移动？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知识通过何种组织传播？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收益和风险如何分配？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旧制度中哪些部分与它互补？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哪些部分受到威胁？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比较的目的不是评选文明优劣。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而是理解：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为什么同一种可能性，会被不同社会选择、放大和制度化为不同的现实。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SC" w:hAnsi="Noto Sans CJK SC" w:eastAsia="Noto Sans CJK SC"/>
          <w:color w:val="1F4E4D"/>
          <w:sz w:val="33"/>
        </w:rPr>
        <w:t>七、技术与制度共同演化：社会选择机器，机器也改造社会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到这里，仍然可能产生一种误解：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技术提供可能性，制度从中作出选择。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这似乎把技术放在前面，把制度放在后面。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真实过程更加循环。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制度不仅选择现成技术。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它还会改变技术下一步怎样设计。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1. 制度选择哪些问题值得解决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研究资源有限。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工程师不可能同时改进所有能力。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国家拨款、市场需求和社会价值判断，会决定哪些问题获得人才与资金。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农业社会可能优先改进水利、储存和土地测量。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海洋贸易社会可能优先改进造船、导航和保险。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工业企业可能优先改进动力、标准化和劳动控制。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公共卫生体系可能优先发展疫苗、供水和疾病统计。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平台企业可能优先优化停留时间、交易量和广告匹配。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技术路线因此包含制度目标。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一个系统不断测量什么，往往说明组织重视什么。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不断优化什么，也说明收益结构奖励什么。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2. 技术把制度写进设计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制度一旦形成，可以进入产品和基础设施。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铁路轨距把兼容规则写进钢轨距离。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门禁系统把访问资格写进卡片和数据库。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软件权限把组织等级写进账号。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平台推荐把注意力分配规则写进算法。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自动表格把“哪些信息才算有效”写进栏目。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技术由此成为制度的执行器。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过去需要官员逐次判断的规则，可以由系统自动执行。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这提高了速度和一致性，也降低了临场协商空间。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制度通过技术变得更坚硬。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3. 新技术创造新主体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汽车普及以后，出现汽车制造商、驾驶者组织、保险公司、道路管理部门和石油产业。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广播普及以后，出现全国听众、广播机构、广告市场和频谱监管。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互联网普及以后，出现平台企业、数据经纪、内容创作者和数字权利组织。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这些主体不是在技术出现之前就完整存在。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他们因新技术而形成，并开始影响下一轮规则和设计。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于是，因果链形成闭环：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技术创造新利益 → 新利益形成组织 → 组织影响法律与标准 → 法律与标准改变技术设计 → 新设计进一步强化某些利益。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4. 成功的制度会筛选“适合自己”的技术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大型官僚组织偏好可记录、可比较、可统一执行的技术。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市场平台偏好能够扩大交易、获取数据和形成网络效应的技术。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地方共同体可能偏好容易维护、可以理解、允许本地调整的设备。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军队偏好可靠、标准化、能够形成后勤体系的技术。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学校可能偏好能够考试、评分和大规模管理的教育技术。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这并不意味着组织总能作出正确选择。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它意味着组织会按照自身目标判断“什么叫好技术”。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对于使用者而言，最方便的产品，未必是管理者最偏好的产品。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对于管理者而言，最容易监督的系统，未必最能培养创造力。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技术没有一个脱离制度的统一绩效标准。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速度、利润、公平、安全、韧性和自治，可能相互冲突。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5. 技术锁定制度，制度锁定技术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汽车体系扩大后，城市围绕道路和停车重新建设。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汽车因而更有用。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公共交通和步行反而更困难。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平台聚集用户后，商家更加依赖平台。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商家越依赖平台，消费者越容易在平台找到商品。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平台价值继续上升。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官僚体系使用统一表格后，大量历史数据按照相同分类积累。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新系统为了兼容旧数据，也不得不延续原分类。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技术与制度互相支撑，最终形成锁定。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这一过程解释了为什么改革常常不能只更换设备。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设备、规则、利益、技能和身份必须一起调整。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机器并不是制度外部的一件工具。成熟以后，它往往成为制度的骨骼。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SC" w:hAnsi="Noto Sans CJK SC" w:eastAsia="Noto Sans CJK SC"/>
          <w:color w:val="1F4E4D"/>
          <w:sz w:val="33"/>
        </w:rPr>
        <w:t>八、人工智能会产生哪一种社会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今天关于人工智能的许多争论，也带有明显的技术决定论。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乐观叙事认为，知识能力将普及，每个人都能获得私人教师、助手和专业解释。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悲观叙事认为，大量职业将消失，少数算力拥有者会获得前所未有的控制。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两种未来都具有技术上的可能性。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哪一种成为主导结果，取决于尚未稳定的制度组合。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1. 数据由谁控制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模型能力不仅来自算法，也来自数据。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如果公共数据、企业数据和个人数据全部被少数组织封闭控制，新进入者很难建立替代系统。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如果数据可以在安全、授权和可追责条件下流动，更多组织可能参与创新。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但开放也不是无限复制。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医疗、教育、通信和私人记录涉及真实权利。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数据制度需要同时处理：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个人控制；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公共研究；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商业收益；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安全风险；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历史偏差；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退出和删除。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“数据越多越好”不是制度答案。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2. 算力由谁进入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高性能计算需要设备、能源、资金和专业运维。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如果算力完全由少数商业平台提供，用户可能获得方便服务，却难以改变价格、接口和使用规则。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公共计算设施、行业共享平台、本地部署和开放模型，可以增加替代路线。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但这些安排同样需要资金、治理和责任。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分散算力不等于没有中心。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它意味着中心之间存在现实可用的选择。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3. 劳动收益怎样分配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人工智能提高生产率以后，收益可以有多种去向：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企业利润增加；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产品价格下降；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劳动时间缩短；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员工工资提高；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岗位数量减少；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管理监控加强；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新职业和新服务出现。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技术本身不会在这些选项之间自动分配。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劳动法、集体谈判、企业治理、税收和社会保障，将决定效率收益由谁获得。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如果员工只承担岗位风险，却无权参与工具设计，他们可能把人工智能视为威胁。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如果技术用于减少重复劳动、增加培训并共享收益，同一种系统可能获得完全不同的接受度。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4. 教育培养答案者，还是判断者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当普通答案的生成成本下降，教育的价值不会消失。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但教育目标会改变。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记住答案仍然重要。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更稀缺的能力可能变成：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定义问题；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识别证据；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判断模型是否遗漏情境；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区分事实与推测；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解释价值冲突；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承担决定责任；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把抽象建议转化为现实行动。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如果考试制度仍然只奖励标准答案，人工智能可能被主要用于更快生产答案和更严密地检测答案。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如果课程、评价和教师角色共同改变，它也可能成为探索、反馈与个性化学习的工具。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模型能力相同。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教育制度不同，得到的学校也会不同。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5. 谁对机器决定负责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人工智能可以参与筛选、推荐、诊断辅助、风险评估和组织调度。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但系统给出结果时，责任不能跟着人类判断一起消失。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谁选择了模型？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谁提供数据？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谁确定阈值？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谁核验结果？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谁有权推翻建议？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受影响者怎样申诉？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没有责任制度，自动化容易形成一种奇怪的权力：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系统能够影响人。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却没有任何主体完整承认自己在作决定。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Agent进一步把问题从知识权推进到行动权。它不只生成答案，还可能调用软件、处理订单、提交申请和安排任务。此时，真正关键的资源将包括身份、账号、接口、数据权限、审计记录和最终授权。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6. 不会只有一种“人工智能社会”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人工智能可以与不同制度结合：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与高度集中的企业平台结合，形成统一服务和数据闭环；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与公共基础设施结合，提供普遍教育、医疗和行政辅助；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与开放标准结合，形成大量可互操作的专业模型；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与劳动者参与制度结合，增强岗位能力；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与高压考核制度结合，加强工作监控；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与社区组织结合，服务地方语言、知识和公共事务；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与封闭产权结合，制造更强的资源入口。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未来真正竞争的不会只是模型参数。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而是：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谁能把模型、数据、算力、人才、责任和公共信任组成一套可持续制度。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这正是本章命题在当代的回声：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人工智能不会自动产生一种未来。它会把社会已经存在的制度选择放大，同时迫使这些制度重新接受检验。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SC" w:hAnsi="Noto Sans CJK SC" w:eastAsia="Noto Sans CJK SC"/>
          <w:color w:val="1F4E4D"/>
          <w:sz w:val="33"/>
        </w:rPr>
        <w:t>九、反方与边界：制度并不能把任何技术变成任何结果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强调制度作用，也可能走向另一个极端：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既然结果取决于社会，那么技术的物质特征似乎无关紧要。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这种解释同样不成立。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1. 技术存在真实的性能边界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帆船不能像电报一样传递信息。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手工抄写不能达到现代印刷的复制速度。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地方小型电源不能独自承担所有大型工业负荷。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小型组织也无法轻易训练和维护所有复杂模型。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制度可以选择用途。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不能取消物理成本。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当某种技术具有显著规模经济、能源需求或网络效应时，中心化压力就真实存在。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制度只能管理这种压力，不能假装它不存在。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2. 制度选择并不总是自由选择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殖民社会中的技术转型，往往伴随暴力、土地剥夺和政治不平等。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弱势群体没有平等机会决定技术怎样进入。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企业员工也可能无法拒绝组织采用的监控系统。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消费者在某项基础设施成为默认条件后，理论上的退出权可能缺乏现实意义。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因此，“社会选择技术”不能被写成所有人坐在同一张桌前共同选择。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真正的问题是：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谁有能力作出选择？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谁只能适应结果？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谁能够把自己的利益写进技术？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3. 制度互补也可能保护低效与不公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一套制度彼此互补，不等于它公平。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土地集中、债务、强制劳动和监控系统，也可以形成稳定组合。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技术、法律和组织相互配合后，可能让剥削更高效。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分析制度互补回答的是：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为什么系统能够运行并持续。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它不能替代价值判断：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收益是否合理分配？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受影响者是否拥有发言权？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错误是否可以纠正？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系统是否保留替代路线？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稳定不是正当性的证明。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4. 比较中国与西方必须避免选择性证据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中国与“西方”内部都存在巨大差异。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宋代与明清不同。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战国与统一帝国不同。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英国、荷兰、法国、意大利城邦和东欧政治结构也不能被视为同一种制度。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为了说明某个命题，只挑选支持自己的国家和时期，很容易制造虚假规律。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本章使用中西比较，是为了识别政治规模、组织结构和制度互补等机制。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不是为了把复杂历史压缩为两个固定文明模型。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5. 共同演化不等于无法解释因果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技术与制度相互影响，容易让解释陷入循环：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技术因为制度而发展。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制度又因为技术而改变。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既然一切相互作用，似乎什么都无法确认。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解决办法是区分时间顺序和具体机制。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在某一阶段，哪些技术能力首先改变了成本？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哪些既有制度影响采用？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哪些新主体随后形成？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它们又通过什么法律、投资或标准改变了技术？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共同演化不是放弃因果。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它要求把单向箭头改成可以被证据追踪的反馈链。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color w:val="1F4E4D"/>
          <w:sz w:val="33"/>
        </w:rPr>
        <w:t>十、回到两间印刷作坊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现在，让我们回到开头。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11世纪的毕昇，把胶泥制成一个个可以移动的字。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15世纪的古腾堡，把金属字模、油墨、压力装置和商业生产组织结合起来。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从机械原理看，两者存在令人惊叹的相似。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但一项技术的历史生命，并不只存在于发明者的手中。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它还存在于发明者离开以后：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谁继续制造；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谁愿意投资；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谁需要大量文本；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谁能够识字；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谁有权出版；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谁负责发行；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谁进行审查；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谁保护异议者；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谁利用书籍参加考试；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谁利用书籍组织信徒；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谁用书籍建立共同语言。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欧洲印刷并没有遵照机器内部的命令，自动产生宗教改革、科学革命或现代政治。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中国印刷也没有因为未走上同一条道路而失去历史意义。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它们分别进入了不同的政治规模、知识组织、市场结构和合法性体系。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技术降低了复制成本。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制度决定什么最值得复制。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技术扩大了传播范围。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制度决定谁有资格发声。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技术使旧权威更容易被挑战。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制度决定挑战者能否获得资本、组织和政治保护。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所以，摆在历史面前的从来不只是：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谁拥有最先进的工具？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更重要的问题是：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谁能够建立一套与工具相配合的产权、教育、金融、法律和组织？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这套组合把能力交给谁？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又让谁承担代价？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真正展开竞争的，不是一把斧头对另一把斧头，一台机器对另一台机器，一个模型对另一个模型。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而是一个社会把新能力变成稳定秩序的整体方式。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技术不是社会的剧本。它改变舞台的大小、灯光和道具，也改变演员能够做什么；但谁能登台、谁拥有台词、谁负责收场，仍由制度决定。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这就是第一编最终得到的结论：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历史真正竞争的不是技术，而是“技术—制度组合”。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下一编将从最早的文明技术开始，进入火、语言、容器、农业和金属的世界。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在那里，技术不只改变既有社会。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它开始制造土地、家庭、阶级和国家本身。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/>
          <w:color w:val="1F4E4D"/>
          <w:sz w:val="33"/>
        </w:rPr>
        <w:t>本章机制模型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技术提供新能力 → 改变成本、规模和可行方案 → 既有产权、金融、法律、教育与组织筛选技术 → 国家、市场和共同体争夺控制权 → 某些用途被放大，另一些用途被压制 → 基础设施、技能和利益形成路径依赖 → 技术设计开始固化新制度 → 新制度继续影响下一轮技术选择。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也可以写成一个启发式公式：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213"/>
            <w:vAlign w:val="center"/>
            <w:shd w:fill="F2F5F4"/>
            <w:tcBorders>
              <w:top w:val="nil"/>
              <w:left w:val="single" w:sz="18" w:color="2B6F6D"/>
              <w:bottom w:val="nil"/>
              <w:right w:val="nil"/>
            </w:tcBorders>
          </w:tcPr>
          <w:p>
            <w:pPr>
              <w:spacing w:before="140" w:after="140" w:line="348" w:lineRule="auto"/>
              <w:ind w:left="198" w:right="142"/>
              <w:jc w:val="left"/>
            </w:pPr>
            <w:r>
              <w:rPr>
                <w:rFonts w:ascii="Noto Serif CJK SC" w:hAnsi="Noto Serif CJK SC" w:eastAsia="Noto Serif CJK SC"/>
                <w:color w:val="263D3C"/>
                <w:sz w:val="22"/>
              </w:rPr>
              <w:t>社会结果 ≈ 技术可供能力 × 制度互补程度 × 历史路径 × 权力分配 × 外部竞争与冲击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这不是可直接计算的物理公式。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它是一张比较不同社会技术后果的观察地图。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color w:val="1F4E4D"/>
          <w:sz w:val="33"/>
        </w:rPr>
        <w:t>关键结论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1. </w:t>
      </w:r>
      <w:r>
        <w:rPr>
          <w:rFonts w:ascii="Noto Serif CJK SC" w:hAnsi="Noto Serif CJK SC" w:eastAsia="Noto Serif CJK SC"/>
          <w:b/>
          <w:sz w:val="22"/>
        </w:rPr>
        <w:t>技术改变可能性，不独自决定结果。</w:t>
      </w:r>
      <w:r>
        <w:rPr>
          <w:rFonts w:ascii="Noto Serif CJK SC" w:hAnsi="Noto Serif CJK SC" w:eastAsia="Noto Serif CJK SC"/>
          <w:sz w:val="22"/>
        </w:rPr>
        <w:t xml:space="preserve"> 技术可以提高能力、降低成本和扩大规模，但不会自动回答谁拥有、谁决定以及谁负责。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2. </w:t>
      </w:r>
      <w:r>
        <w:rPr>
          <w:rFonts w:ascii="Noto Serif CJK SC" w:hAnsi="Noto Serif CJK SC" w:eastAsia="Noto Serif CJK SC"/>
          <w:b/>
          <w:sz w:val="22"/>
        </w:rPr>
        <w:t>发明性能必须通过制度互补才能转化为社会能力。</w:t>
      </w:r>
      <w:r>
        <w:rPr>
          <w:rFonts w:ascii="Noto Serif CJK SC" w:hAnsi="Noto Serif CJK SC" w:eastAsia="Noto Serif CJK SC"/>
          <w:sz w:val="22"/>
        </w:rPr>
        <w:t xml:space="preserve"> 产权、金融、法律、教育、基础设施和组织流程，决定技术能否普及，以及其收益怎样分配。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3. </w:t>
      </w:r>
      <w:r>
        <w:rPr>
          <w:rFonts w:ascii="Noto Serif CJK SC" w:hAnsi="Noto Serif CJK SC" w:eastAsia="Noto Serif CJK SC"/>
          <w:b/>
          <w:sz w:val="22"/>
        </w:rPr>
        <w:t>过去并未消失，而是凝固在基础设施、技能、标准和利益中。</w:t>
      </w:r>
      <w:r>
        <w:rPr>
          <w:rFonts w:ascii="Noto Serif CJK SC" w:hAnsi="Noto Serif CJK SC" w:eastAsia="Noto Serif CJK SC"/>
          <w:sz w:val="22"/>
        </w:rPr>
        <w:t xml:space="preserve"> 路径依赖使理论上更优的方案，也可能因为转换成本和协调问题而难以采用。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4. </w:t>
      </w:r>
      <w:r>
        <w:rPr>
          <w:rFonts w:ascii="Noto Serif CJK SC" w:hAnsi="Noto Serif CJK SC" w:eastAsia="Noto Serif CJK SC"/>
          <w:b/>
          <w:sz w:val="22"/>
        </w:rPr>
        <w:t>国家、市场和共同体各自解决不同问题。</w:t>
      </w:r>
      <w:r>
        <w:rPr>
          <w:rFonts w:ascii="Noto Serif CJK SC" w:hAnsi="Noto Serif CJK SC" w:eastAsia="Noto Serif CJK SC"/>
          <w:sz w:val="22"/>
        </w:rPr>
        <w:t xml:space="preserve"> 国家提供规模与统一，市场提供试验与适应，共同体提供地方知识与参与。三者都可能有效，也都可能形成支配。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5. </w:t>
      </w:r>
      <w:r>
        <w:rPr>
          <w:rFonts w:ascii="Noto Serif CJK SC" w:hAnsi="Noto Serif CJK SC" w:eastAsia="Noto Serif CJK SC"/>
          <w:b/>
          <w:sz w:val="22"/>
        </w:rPr>
        <w:t>技术通常同时具有中心化和分散化潜力。</w:t>
      </w:r>
      <w:r>
        <w:rPr>
          <w:rFonts w:ascii="Noto Serif CJK SC" w:hAnsi="Noto Serif CJK SC" w:eastAsia="Noto Serif CJK SC"/>
          <w:sz w:val="22"/>
        </w:rPr>
        <w:t xml:space="preserve"> 终端能力分散，不代表后台资源、接口和规则也分散。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6. </w:t>
      </w:r>
      <w:r>
        <w:rPr>
          <w:rFonts w:ascii="Noto Serif CJK SC" w:hAnsi="Noto Serif CJK SC" w:eastAsia="Noto Serif CJK SC"/>
          <w:b/>
          <w:sz w:val="22"/>
        </w:rPr>
        <w:t>中国与西方的差异不能用文明性格解释。</w:t>
      </w:r>
      <w:r>
        <w:rPr>
          <w:rFonts w:ascii="Noto Serif CJK SC" w:hAnsi="Noto Serif CJK SC" w:eastAsia="Noto Serif CJK SC"/>
          <w:sz w:val="22"/>
        </w:rPr>
        <w:t xml:space="preserve"> 政治规模、组织结构、知识制度、商业网络和国家竞争，构成了不同的技术—制度组合。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7. </w:t>
      </w:r>
      <w:r>
        <w:rPr>
          <w:rFonts w:ascii="Noto Serif CJK SC" w:hAnsi="Noto Serif CJK SC" w:eastAsia="Noto Serif CJK SC"/>
          <w:b/>
          <w:sz w:val="22"/>
        </w:rPr>
        <w:t>技术和制度不是先后排列，而是共同演化。</w:t>
      </w:r>
      <w:r>
        <w:rPr>
          <w:rFonts w:ascii="Noto Serif CJK SC" w:hAnsi="Noto Serif CJK SC" w:eastAsia="Noto Serif CJK SC"/>
          <w:sz w:val="22"/>
        </w:rPr>
        <w:t xml:space="preserve"> 制度选择技术的发展方向，技术又把制度写进机器、标准和基础设施。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8. </w:t>
      </w:r>
      <w:r>
        <w:rPr>
          <w:rFonts w:ascii="Noto Serif CJK SC" w:hAnsi="Noto Serif CJK SC" w:eastAsia="Noto Serif CJK SC"/>
          <w:b/>
          <w:sz w:val="22"/>
        </w:rPr>
        <w:t>制度稳定不等于制度公平。</w:t>
      </w:r>
      <w:r>
        <w:rPr>
          <w:rFonts w:ascii="Noto Serif CJK SC" w:hAnsi="Noto Serif CJK SC" w:eastAsia="Noto Serif CJK SC"/>
          <w:sz w:val="22"/>
        </w:rPr>
        <w:t xml:space="preserve"> 一套组合可以高效、稳定，却仍把收益集中于少数主体，把风险转移给劳动者、地方社会或未来世代。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9. </w:t>
      </w:r>
      <w:r>
        <w:rPr>
          <w:rFonts w:ascii="Noto Serif CJK SC" w:hAnsi="Noto Serif CJK SC" w:eastAsia="Noto Serif CJK SC"/>
          <w:b/>
          <w:sz w:val="22"/>
        </w:rPr>
        <w:t>评价技术不能只看性能。</w:t>
      </w:r>
      <w:r>
        <w:rPr>
          <w:rFonts w:ascii="Noto Serif CJK SC" w:hAnsi="Noto Serif CJK SC" w:eastAsia="Noto Serif CJK SC"/>
          <w:sz w:val="22"/>
        </w:rPr>
        <w:t xml:space="preserve"> 还要追问谁拥有替代路线、谁可以参与制定规则，以及错误发生时谁能够申诉。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10. </w:t>
      </w:r>
      <w:r>
        <w:rPr>
          <w:rFonts w:ascii="Noto Serif CJK SC" w:hAnsi="Noto Serif CJK SC" w:eastAsia="Noto Serif CJK SC"/>
          <w:b/>
          <w:sz w:val="22"/>
        </w:rPr>
        <w:t>历史真正竞争的是完整组合。</w:t>
      </w:r>
      <w:r>
        <w:rPr>
          <w:rFonts w:ascii="Noto Serif CJK SC" w:hAnsi="Noto Serif CJK SC" w:eastAsia="Noto Serif CJK SC"/>
          <w:sz w:val="22"/>
        </w:rPr>
        <w:t xml:space="preserve"> 决定长期结果的，不是某个社会是否最先拥有一项发明，而是它能否把技术、组织、制度和公共合法性组合成可以持续调整的系统。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color w:val="1F4E4D"/>
          <w:sz w:val="33"/>
        </w:rPr>
        <w:t>争议与局限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1. 技术决定论存在强弱之分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本章反对的是“某项技术必然产生某种制度”的强决定论。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较弱的观点——技术显著改变行动约束，使某些制度更容易、另一些制度更难——仍然具有解释价值。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2. “制度互补”可能被事后滥用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看到一个成功系统后，人们容易把其中所有制度都解释成必要条件。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实际上，一些制度只是偶然共存，另一些条件可能存在替代方案。需要通过跨地区比较和时间证据区分必要条件、促进条件与附带现象。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3. 路径依赖不是所有历史持续性的通用解释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习惯、利益、权力压制和技术锁定可能导致相似的持久结果，却具有不同机制。不能看到旧制度延续，就直接宣称发生了路径锁定。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4. 国家、市场和共同体不是内部统一的行动者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国家内部存在中央与地方、部门与部门之间的竞争。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企业内部存在股东、管理者、劳动者和合作伙伴的差异。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共同体内部也存在年龄、性别、财富和身份权力。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5. 中西比较只能服务于机制分析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“西方”并非单一制度，“中国”也经历过多国竞争、帝国统一、商业扩张、社会动荡和制度重构。任何跨文明概括都必须接受具体时期和地区证据的检验。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6. 人工智能部分属于条件性推论</w:t>
      </w:r>
    </w:p>
    <w:p>
      <w:pPr>
        <w:widowControl/>
        <w:spacing w:before="0" w:after="30" w:line="372" w:lineRule="auto"/>
        <w:ind w:firstLine="420"/>
        <w:jc w:val="both"/>
      </w:pPr>
      <w:r>
        <w:rPr>
          <w:rFonts w:ascii="Noto Serif CJK SC" w:hAnsi="Noto Serif CJK SC" w:eastAsia="Noto Serif CJK SC"/>
          <w:sz w:val="22"/>
        </w:rPr>
        <w:t>模型能力、成本结构、法律和组织方式仍在变化。关于集中化、劳动和教育后果的讨论，是根据历史机制提出的可能路径，不是确定预言。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/>
          <w:color w:val="1F4E4D"/>
          <w:sz w:val="33"/>
        </w:rPr>
        <w:t>资料来源建议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技术、制度与社会建构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1. </w:t>
      </w:r>
      <w:r>
        <w:rPr>
          <w:rFonts w:ascii="Noto Serif CJK SC" w:hAnsi="Noto Serif CJK SC" w:eastAsia="Noto Serif CJK SC"/>
          <w:sz w:val="22"/>
        </w:rPr>
        <w:t>Thomas P. Hughes：《权力网络》及大型技术系统研究。用于理解技术系统为何同时包含机器、企业、法律、金融和教育机构。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2. </w:t>
      </w:r>
      <w:r>
        <w:rPr>
          <w:rFonts w:ascii="Noto Serif CJK SC" w:hAnsi="Noto Serif CJK SC" w:eastAsia="Noto Serif CJK SC"/>
          <w:sz w:val="22"/>
        </w:rPr>
        <w:t>Wiebe Bijker、Thomas Hughes、Trevor Pinch 编：《技术系统的社会建构》。用于理解技术设计如何受到社会群体与制度选择影响。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3. </w:t>
      </w:r>
      <w:r>
        <w:rPr>
          <w:rFonts w:ascii="Noto Serif CJK SC" w:hAnsi="Noto Serif CJK SC" w:eastAsia="Noto Serif CJK SC"/>
          <w:sz w:val="22"/>
        </w:rPr>
        <w:t>Sheila Jasanoff：《自然的设计》。用于比较不同国家怎样把科技、政治文化和公共责任结合起来。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[12]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路径依赖与制度互补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4. </w:t>
      </w:r>
      <w:r>
        <w:rPr>
          <w:rFonts w:ascii="Noto Serif CJK SC" w:hAnsi="Noto Serif CJK SC" w:eastAsia="Noto Serif CJK SC"/>
          <w:sz w:val="22"/>
        </w:rPr>
        <w:t>Paul A. David：“路径依赖与历史经济学”。用于理解早期选择、协调收益和历史锁定。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[13]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5. </w:t>
      </w:r>
      <w:r>
        <w:rPr>
          <w:rFonts w:ascii="Noto Serif CJK SC" w:hAnsi="Noto Serif CJK SC" w:eastAsia="Noto Serif CJK SC"/>
          <w:sz w:val="22"/>
        </w:rPr>
        <w:t>Douglass North：《制度、制度变迁与经济绩效》。用于理解制度如何降低不确定性，又怎样形成持续约束。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6. </w:t>
      </w:r>
      <w:r>
        <w:rPr>
          <w:rFonts w:ascii="Noto Serif CJK SC" w:hAnsi="Noto Serif CJK SC" w:eastAsia="Noto Serif CJK SC"/>
          <w:sz w:val="22"/>
        </w:rPr>
        <w:t>W. Brian Arthur：关于递增收益与路径依赖的研究。用于理解网络、标准和技术采用的自我强化。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7. </w:t>
      </w:r>
      <w:r>
        <w:rPr>
          <w:rFonts w:ascii="Noto Serif CJK SC" w:hAnsi="Noto Serif CJK SC" w:eastAsia="Noto Serif CJK SC"/>
          <w:sz w:val="22"/>
        </w:rPr>
        <w:t>Erik Brynjolfsson 等：“生产率J曲线”研究。用于理解新技术为什么需要组织、流程和无形资产互补。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[14]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8. </w:t>
      </w:r>
      <w:r>
        <w:rPr>
          <w:rFonts w:ascii="Noto Serif CJK SC" w:hAnsi="Noto Serif CJK SC" w:eastAsia="Noto Serif CJK SC"/>
          <w:sz w:val="22"/>
        </w:rPr>
        <w:t>关于技术、产权与制度互补的制度经济学研究。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[15]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国家、市场与共同体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9. </w:t>
      </w:r>
      <w:r>
        <w:rPr>
          <w:rFonts w:ascii="Noto Serif CJK SC" w:hAnsi="Noto Serif CJK SC" w:eastAsia="Noto Serif CJK SC"/>
          <w:sz w:val="22"/>
        </w:rPr>
        <w:t>Elinor Ostrom：《公共事物的治理之道》及诺贝尔奖演讲。用于理解公共资源为什么不必只在国家和私人市场之间二选一。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[8]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10. </w:t>
      </w:r>
      <w:r>
        <w:rPr>
          <w:rFonts w:ascii="Noto Serif CJK SC" w:hAnsi="Noto Serif CJK SC" w:eastAsia="Noto Serif CJK SC"/>
          <w:sz w:val="22"/>
        </w:rPr>
        <w:t>关于多中心治理、基础设施与能源系统的研究。用于分析不同层级权力怎样共同管理复杂网络。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[9]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color w:val="1F4E4D"/>
          <w:sz w:val="27"/>
        </w:rPr>
        <w:t>中国与欧洲比较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11. </w:t>
      </w:r>
      <w:r>
        <w:rPr>
          <w:rFonts w:ascii="Noto Serif CJK SC" w:hAnsi="Noto Serif CJK SC" w:eastAsia="Noto Serif CJK SC"/>
          <w:sz w:val="22"/>
        </w:rPr>
        <w:t>《剑桥中国史》宋代社会与社会变迁章节。用于宋代商业经济、印刷扩张、教育与国家职能变化。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[4]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12. </w:t>
      </w:r>
      <w:r>
        <w:rPr>
          <w:rFonts w:ascii="Noto Serif CJK SC" w:hAnsi="Noto Serif CJK SC" w:eastAsia="Noto Serif CJK SC"/>
          <w:sz w:val="22"/>
        </w:rPr>
        <w:t>关于晚期帝制中国书籍史与商业出版的研究综述。用于避免把中国印刷简单写成官方经典传播。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[3]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13. </w:t>
      </w:r>
      <w:r>
        <w:rPr>
          <w:rFonts w:ascii="Noto Serif CJK SC" w:hAnsi="Noto Serif CJK SC" w:eastAsia="Noto Serif CJK SC"/>
          <w:sz w:val="22"/>
        </w:rPr>
        <w:t>Victoria Tin-bor Hui：《古代中国与近代早期欧洲的战争和国家形成》。用于比较多国竞争、中央集权和国家体系，避免文明宿命论。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[10]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14. </w:t>
      </w:r>
      <w:r>
        <w:rPr>
          <w:rFonts w:ascii="Noto Serif CJK SC" w:hAnsi="Noto Serif CJK SC" w:eastAsia="Noto Serif CJK SC"/>
          <w:sz w:val="22"/>
        </w:rPr>
        <w:t>美国国会图书馆亚洲印刷史资料。用于毕昇、宋代活字与东亚印刷史。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[2]</w:t>
      </w:r>
    </w:p>
    <w:p>
      <w:pPr>
        <w:widowControl/>
        <w:spacing w:after="80" w:line="348" w:lineRule="auto"/>
        <w:ind w:left="510" w:hanging="312"/>
        <w:jc w:val="both"/>
      </w:pPr>
      <w:r>
        <w:rPr>
          <w:rFonts w:ascii="Noto Sans CJK SC" w:hAnsi="Noto Sans CJK SC" w:eastAsia="Noto Sans CJK SC"/>
          <w:b/>
          <w:color w:val="2B6F6D"/>
          <w:sz w:val="21"/>
        </w:rPr>
        <w:t xml:space="preserve">15. </w:t>
      </w:r>
      <w:r>
        <w:rPr>
          <w:rFonts w:ascii="Noto Serif CJK SC" w:hAnsi="Noto Serif CJK SC" w:eastAsia="Noto Serif CJK SC"/>
          <w:sz w:val="22"/>
        </w:rPr>
        <w:t>美国国会图书馆宗教改革资料。用于古腾堡印刷与路德文本传播。</w:t>
      </w:r>
      <w:r>
        <w:rPr>
          <w:rFonts w:ascii="Noto Sans CJK SC" w:hAnsi="Noto Sans CJK SC" w:eastAsia="Noto Sans CJK SC"/>
          <w:color w:val="2B6F6D"/>
          <w:sz w:val="15"/>
          <w:vertAlign w:val="superscript"/>
        </w:rPr>
        <w:t>[1]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color w:val="1F4E4D"/>
          <w:sz w:val="33"/>
        </w:rPr>
        <w:t>注释与链接</w:t>
      </w:r>
    </w:p>
    <w:p>
      <w:pPr>
        <w:widowControl/>
        <w:spacing w:before="0" w:after="80" w:line="300" w:lineRule="auto"/>
        <w:ind w:firstLine="0" w:left="170" w:right="0"/>
        <w:jc w:val="left"/>
      </w:pPr>
      <w:r>
        <w:rPr>
          <w:rFonts w:ascii="Noto Sans CJK SC" w:hAnsi="Noto Sans CJK SC" w:eastAsia="Noto Sans CJK SC"/>
          <w:color w:val="2B6F6D"/>
          <w:sz w:val="15"/>
          <w:vertAlign w:val="superscript"/>
        </w:rPr>
        <w:t>[1]</w:t>
      </w:r>
      <w:r>
        <w:rPr>
          <w:rFonts w:ascii="Noto Serif CJK SC" w:hAnsi="Noto Serif CJK SC" w:eastAsia="Noto Serif CJK SC"/>
          <w:sz w:val="19"/>
        </w:rPr>
        <w:t xml:space="preserve"> Library of Congress, “Martin Luther: Priest, Heretic, Outlaw”, </w:t>
      </w:r>
      <w:hyperlink r:id="rId11">
        <w:r>
          <w:rPr>
            <w:color w:val="2B6F6D"/>
            <w:sz w:val="19"/>
            <w:szCs w:val="19"/>
            <w:u w:val="single"/>
          </w:rPr>
          <w:t>https://guides.loc.gov/martin-luther-priest-heretic-outlaw</w:t>
        </w:r>
      </w:hyperlink>
    </w:p>
    <w:p>
      <w:pPr>
        <w:widowControl/>
        <w:spacing w:before="0" w:after="80" w:line="300" w:lineRule="auto"/>
        <w:ind w:firstLine="0" w:left="170" w:right="0"/>
        <w:jc w:val="left"/>
      </w:pPr>
      <w:r>
        <w:rPr>
          <w:rFonts w:ascii="Noto Sans CJK SC" w:hAnsi="Noto Sans CJK SC" w:eastAsia="Noto Sans CJK SC"/>
          <w:color w:val="2B6F6D"/>
          <w:sz w:val="15"/>
          <w:vertAlign w:val="superscript"/>
        </w:rPr>
        <w:t>[2]</w:t>
      </w:r>
      <w:r>
        <w:rPr>
          <w:rFonts w:ascii="Noto Serif CJK SC" w:hAnsi="Noto Serif CJK SC" w:eastAsia="Noto Serif CJK SC"/>
          <w:sz w:val="19"/>
        </w:rPr>
        <w:t xml:space="preserve"> Library of Congress Blogs, “The History of Printing in Asia”, </w:t>
      </w:r>
      <w:hyperlink r:id="rId12">
        <w:r>
          <w:rPr>
            <w:color w:val="2B6F6D"/>
            <w:sz w:val="19"/>
            <w:szCs w:val="19"/>
            <w:u w:val="single"/>
          </w:rPr>
          <w:t>https://blogs.loc.gov/international-collections/2021/06/the-history-of-printing-in-asia-according-to-library-of-congress-asian-collections-part-1/</w:t>
        </w:r>
      </w:hyperlink>
    </w:p>
    <w:p>
      <w:pPr>
        <w:widowControl/>
        <w:spacing w:before="0" w:after="80" w:line="300" w:lineRule="auto"/>
        <w:ind w:firstLine="0" w:left="170" w:right="0"/>
        <w:jc w:val="left"/>
      </w:pPr>
      <w:r>
        <w:rPr>
          <w:rFonts w:ascii="Noto Sans CJK SC" w:hAnsi="Noto Sans CJK SC" w:eastAsia="Noto Sans CJK SC"/>
          <w:color w:val="2B6F6D"/>
          <w:sz w:val="15"/>
          <w:vertAlign w:val="superscript"/>
        </w:rPr>
        <w:t>[3]</w:t>
      </w:r>
      <w:r>
        <w:rPr>
          <w:rFonts w:ascii="Noto Serif CJK SC" w:hAnsi="Noto Serif CJK SC" w:eastAsia="Noto Serif CJK SC"/>
          <w:sz w:val="19"/>
        </w:rPr>
        <w:t xml:space="preserve"> Cambridge University Press, “The Printed World: Books, Publishing Culture, and Society in Late Imperial China”, </w:t>
      </w:r>
      <w:hyperlink r:id="rId13">
        <w:r>
          <w:rPr>
            <w:color w:val="2B6F6D"/>
            <w:sz w:val="19"/>
            <w:szCs w:val="19"/>
            <w:u w:val="single"/>
          </w:rPr>
          <w:t>https://www.cambridge.org/core/journals/journal-of-asian-studies/article/printed-world-books-publishing-culture-and-society-in-late-imperial-china/B5FE7CD31FC190C3560CC3AB83419A78</w:t>
        </w:r>
      </w:hyperlink>
    </w:p>
    <w:p>
      <w:pPr>
        <w:widowControl/>
        <w:spacing w:before="0" w:after="80" w:line="300" w:lineRule="auto"/>
        <w:ind w:firstLine="0" w:left="170" w:right="0"/>
        <w:jc w:val="left"/>
      </w:pPr>
      <w:r>
        <w:rPr>
          <w:rFonts w:ascii="Noto Sans CJK SC" w:hAnsi="Noto Sans CJK SC" w:eastAsia="Noto Sans CJK SC"/>
          <w:color w:val="2B6F6D"/>
          <w:sz w:val="15"/>
          <w:vertAlign w:val="superscript"/>
        </w:rPr>
        <w:t>[4]</w:t>
      </w:r>
      <w:r>
        <w:rPr>
          <w:rFonts w:ascii="Noto Serif CJK SC" w:hAnsi="Noto Serif CJK SC" w:eastAsia="Noto Serif CJK SC"/>
          <w:sz w:val="19"/>
        </w:rPr>
        <w:t xml:space="preserve"> Cambridge University Press, “Sung Society and Social Change”, </w:t>
      </w:r>
      <w:hyperlink r:id="rId14">
        <w:r>
          <w:rPr>
            <w:color w:val="2B6F6D"/>
            <w:sz w:val="19"/>
            <w:szCs w:val="19"/>
            <w:u w:val="single"/>
          </w:rPr>
          <w:t>https://www.cambridge.org/core/books/cambridge-history-of-china/sung-society-and-social-change/E80BE984A14F93E3ACC879DABBAC372E</w:t>
        </w:r>
      </w:hyperlink>
    </w:p>
    <w:p>
      <w:pPr>
        <w:widowControl/>
        <w:spacing w:before="0" w:after="80" w:line="300" w:lineRule="auto"/>
        <w:ind w:firstLine="0" w:left="170" w:right="0"/>
        <w:jc w:val="left"/>
      </w:pPr>
      <w:r>
        <w:rPr>
          <w:rFonts w:ascii="Noto Sans CJK SC" w:hAnsi="Noto Sans CJK SC" w:eastAsia="Noto Sans CJK SC"/>
          <w:color w:val="2B6F6D"/>
          <w:sz w:val="15"/>
          <w:vertAlign w:val="superscript"/>
        </w:rPr>
        <w:t>[5]</w:t>
      </w:r>
      <w:r>
        <w:rPr>
          <w:rFonts w:ascii="Noto Serif CJK SC" w:hAnsi="Noto Serif CJK SC" w:eastAsia="Noto Serif CJK SC"/>
          <w:sz w:val="19"/>
        </w:rPr>
        <w:t xml:space="preserve"> NBER-related research on general-purpose technologies and organizational complements, </w:t>
      </w:r>
      <w:hyperlink r:id="rId15">
        <w:r>
          <w:rPr>
            <w:color w:val="2B6F6D"/>
            <w:sz w:val="19"/>
            <w:szCs w:val="19"/>
            <w:u w:val="single"/>
          </w:rPr>
          <w:t>https://users.nber.org/~confer/2003/daes03/rousseau.pdf</w:t>
        </w:r>
      </w:hyperlink>
    </w:p>
    <w:p>
      <w:pPr>
        <w:widowControl/>
        <w:spacing w:before="0" w:after="80" w:line="300" w:lineRule="auto"/>
        <w:ind w:firstLine="0" w:left="170" w:right="0"/>
        <w:jc w:val="left"/>
      </w:pPr>
      <w:r>
        <w:rPr>
          <w:rFonts w:ascii="Noto Sans CJK SC" w:hAnsi="Noto Sans CJK SC" w:eastAsia="Noto Sans CJK SC"/>
          <w:color w:val="2B6F6D"/>
          <w:sz w:val="15"/>
          <w:vertAlign w:val="superscript"/>
        </w:rPr>
        <w:t>[6]</w:t>
      </w:r>
      <w:r>
        <w:rPr>
          <w:rFonts w:ascii="Noto Serif CJK SC" w:hAnsi="Noto Serif CJK SC" w:eastAsia="Noto Serif CJK SC"/>
          <w:sz w:val="19"/>
        </w:rPr>
        <w:t xml:space="preserve"> Research on path dependence and self-reinforcing historical processes, </w:t>
      </w:r>
      <w:hyperlink r:id="rId16">
        <w:r>
          <w:rPr>
            <w:color w:val="2B6F6D"/>
            <w:sz w:val="19"/>
            <w:szCs w:val="19"/>
            <w:u w:val="single"/>
          </w:rPr>
          <w:t>https://www.sciencedirect.com/science/article/pii/0954349X94900027</w:t>
        </w:r>
      </w:hyperlink>
    </w:p>
    <w:p>
      <w:pPr>
        <w:widowControl/>
        <w:spacing w:before="0" w:after="80" w:line="300" w:lineRule="auto"/>
        <w:ind w:firstLine="0" w:left="170" w:right="0"/>
        <w:jc w:val="left"/>
      </w:pPr>
      <w:r>
        <w:rPr>
          <w:rFonts w:ascii="Noto Sans CJK SC" w:hAnsi="Noto Sans CJK SC" w:eastAsia="Noto Sans CJK SC"/>
          <w:color w:val="2B6F6D"/>
          <w:sz w:val="15"/>
          <w:vertAlign w:val="superscript"/>
        </w:rPr>
        <w:t>[7]</w:t>
      </w:r>
      <w:r>
        <w:rPr>
          <w:rFonts w:ascii="Noto Serif CJK SC" w:hAnsi="Noto Serif CJK SC" w:eastAsia="Noto Serif CJK SC"/>
          <w:sz w:val="19"/>
        </w:rPr>
        <w:t xml:space="preserve"> Sydow, Schreyögg and Koch, “Organizational Path Dependence”, </w:t>
      </w:r>
      <w:hyperlink r:id="rId17">
        <w:r>
          <w:rPr>
            <w:color w:val="2B6F6D"/>
            <w:sz w:val="19"/>
            <w:szCs w:val="19"/>
            <w:u w:val="single"/>
          </w:rPr>
          <w:t>https://onlinelibrary.wiley.com/doi/full/10.1111/j.1467-6486.2009.00913.x</w:t>
        </w:r>
      </w:hyperlink>
    </w:p>
    <w:p>
      <w:pPr>
        <w:widowControl/>
        <w:spacing w:before="0" w:after="80" w:line="300" w:lineRule="auto"/>
        <w:ind w:firstLine="0" w:left="170" w:right="0"/>
        <w:jc w:val="left"/>
      </w:pPr>
      <w:r>
        <w:rPr>
          <w:rFonts w:ascii="Noto Sans CJK SC" w:hAnsi="Noto Sans CJK SC" w:eastAsia="Noto Sans CJK SC"/>
          <w:color w:val="2B6F6D"/>
          <w:sz w:val="15"/>
          <w:vertAlign w:val="superscript"/>
        </w:rPr>
        <w:t>[8]</w:t>
      </w:r>
      <w:r>
        <w:rPr>
          <w:rFonts w:ascii="Noto Serif CJK SC" w:hAnsi="Noto Serif CJK SC" w:eastAsia="Noto Serif CJK SC"/>
          <w:sz w:val="19"/>
        </w:rPr>
        <w:t xml:space="preserve"> Elinor Ostrom, Nobel Lecture, </w:t>
      </w:r>
      <w:hyperlink r:id="rId18">
        <w:r>
          <w:rPr>
            <w:color w:val="2B6F6D"/>
            <w:sz w:val="19"/>
            <w:szCs w:val="19"/>
            <w:u w:val="single"/>
          </w:rPr>
          <w:t>https://www.nobelprize.org/prizes/economic-sciences/2009/ostrom/lecture/</w:t>
        </w:r>
      </w:hyperlink>
    </w:p>
    <w:p>
      <w:pPr>
        <w:widowControl/>
        <w:spacing w:before="0" w:after="80" w:line="300" w:lineRule="auto"/>
        <w:ind w:firstLine="0" w:left="170" w:right="0"/>
        <w:jc w:val="left"/>
      </w:pPr>
      <w:r>
        <w:rPr>
          <w:rFonts w:ascii="Noto Sans CJK SC" w:hAnsi="Noto Sans CJK SC" w:eastAsia="Noto Sans CJK SC"/>
          <w:color w:val="2B6F6D"/>
          <w:sz w:val="15"/>
          <w:vertAlign w:val="superscript"/>
        </w:rPr>
        <w:t>[9]</w:t>
      </w:r>
      <w:r>
        <w:rPr>
          <w:rFonts w:ascii="Noto Serif CJK SC" w:hAnsi="Noto Serif CJK SC" w:eastAsia="Noto Serif CJK SC"/>
          <w:sz w:val="19"/>
        </w:rPr>
        <w:t xml:space="preserve"> Research on electricity governance and socio-technical systems, </w:t>
      </w:r>
      <w:hyperlink r:id="rId19">
        <w:r>
          <w:rPr>
            <w:color w:val="2B6F6D"/>
            <w:sz w:val="19"/>
            <w:szCs w:val="19"/>
            <w:u w:val="single"/>
          </w:rPr>
          <w:t>https://www.sciencedirect.com/science/article/pii/S2214629614000140</w:t>
        </w:r>
      </w:hyperlink>
    </w:p>
    <w:p>
      <w:pPr>
        <w:widowControl/>
        <w:spacing w:before="0" w:after="80" w:line="300" w:lineRule="auto"/>
        <w:ind w:firstLine="0" w:left="170" w:right="0"/>
        <w:jc w:val="left"/>
      </w:pPr>
      <w:r>
        <w:rPr>
          <w:rFonts w:ascii="Noto Sans CJK SC" w:hAnsi="Noto Sans CJK SC" w:eastAsia="Noto Sans CJK SC"/>
          <w:color w:val="2B6F6D"/>
          <w:sz w:val="15"/>
          <w:vertAlign w:val="superscript"/>
        </w:rPr>
        <w:t>[10]</w:t>
      </w:r>
      <w:r>
        <w:rPr>
          <w:rFonts w:ascii="Noto Serif CJK SC" w:hAnsi="Noto Serif CJK SC" w:eastAsia="Noto Serif CJK SC"/>
          <w:sz w:val="19"/>
        </w:rPr>
        <w:t xml:space="preserve"> Victoria Tin-bor Hui, War and State Formation in Ancient China and Early Modern Europe, </w:t>
      </w:r>
      <w:hyperlink r:id="rId20">
        <w:r>
          <w:rPr>
            <w:color w:val="2B6F6D"/>
            <w:sz w:val="19"/>
            <w:szCs w:val="19"/>
            <w:u w:val="single"/>
          </w:rPr>
          <w:t>https://www.cambridge.org/core/books/war-and-state-formation-in-ancient-china-and-early-modern-europe/F81552218F82BDF65C54DF0BC08759D0</w:t>
        </w:r>
      </w:hyperlink>
    </w:p>
    <w:p>
      <w:pPr>
        <w:widowControl/>
        <w:spacing w:before="0" w:after="80" w:line="300" w:lineRule="auto"/>
        <w:ind w:firstLine="0" w:left="170" w:right="0"/>
        <w:jc w:val="left"/>
      </w:pPr>
      <w:r>
        <w:rPr>
          <w:rFonts w:ascii="Noto Sans CJK SC" w:hAnsi="Noto Sans CJK SC" w:eastAsia="Noto Sans CJK SC"/>
          <w:color w:val="2B6F6D"/>
          <w:sz w:val="15"/>
          <w:vertAlign w:val="superscript"/>
        </w:rPr>
        <w:t>[11]</w:t>
      </w:r>
      <w:r>
        <w:rPr>
          <w:rFonts w:ascii="Noto Serif CJK SC" w:hAnsi="Noto Serif CJK SC" w:eastAsia="Noto Serif CJK SC"/>
          <w:sz w:val="19"/>
        </w:rPr>
        <w:t xml:space="preserve"> Cambridge Economic History of China, “Merchants and Commercial Networks”, </w:t>
      </w:r>
      <w:hyperlink r:id="rId21">
        <w:r>
          <w:rPr>
            <w:color w:val="2B6F6D"/>
            <w:sz w:val="19"/>
            <w:szCs w:val="19"/>
            <w:u w:val="single"/>
          </w:rPr>
          <w:t>https://www.cambridge.org/core/books/cambridge-economic-history-of-china/merchants-and-commercial-networks/005D56BB0854F7EDBB033A49D18BC50B</w:t>
        </w:r>
      </w:hyperlink>
    </w:p>
    <w:p>
      <w:pPr>
        <w:widowControl/>
        <w:spacing w:before="0" w:after="80" w:line="300" w:lineRule="auto"/>
        <w:ind w:firstLine="0" w:left="170" w:right="0"/>
        <w:jc w:val="left"/>
      </w:pPr>
      <w:r>
        <w:rPr>
          <w:rFonts w:ascii="Noto Sans CJK SC" w:hAnsi="Noto Sans CJK SC" w:eastAsia="Noto Sans CJK SC"/>
          <w:color w:val="2B6F6D"/>
          <w:sz w:val="15"/>
          <w:vertAlign w:val="superscript"/>
        </w:rPr>
        <w:t>[12]</w:t>
      </w:r>
      <w:r>
        <w:rPr>
          <w:rFonts w:ascii="Noto Serif CJK SC" w:hAnsi="Noto Serif CJK SC" w:eastAsia="Noto Serif CJK SC"/>
          <w:sz w:val="19"/>
        </w:rPr>
        <w:t xml:space="preserve"> Sheila Jasanoff, Designs on Nature, excerpt, </w:t>
      </w:r>
      <w:hyperlink r:id="rId22">
        <w:r>
          <w:rPr>
            <w:color w:val="2B6F6D"/>
            <w:sz w:val="19"/>
            <w:szCs w:val="19"/>
            <w:u w:val="single"/>
          </w:rPr>
          <w:t>https://assets.press.princeton.edu/chapters/s7958.pdf</w:t>
        </w:r>
      </w:hyperlink>
    </w:p>
    <w:p>
      <w:pPr>
        <w:widowControl/>
        <w:spacing w:before="0" w:after="80" w:line="300" w:lineRule="auto"/>
        <w:ind w:firstLine="0" w:left="170" w:right="0"/>
        <w:jc w:val="left"/>
      </w:pPr>
      <w:r>
        <w:rPr>
          <w:rFonts w:ascii="Noto Sans CJK SC" w:hAnsi="Noto Sans CJK SC" w:eastAsia="Noto Sans CJK SC"/>
          <w:color w:val="2B6F6D"/>
          <w:sz w:val="15"/>
          <w:vertAlign w:val="superscript"/>
        </w:rPr>
        <w:t>[13]</w:t>
      </w:r>
      <w:r>
        <w:rPr>
          <w:rFonts w:ascii="Noto Serif CJK SC" w:hAnsi="Noto Serif CJK SC" w:eastAsia="Noto Serif CJK SC"/>
          <w:sz w:val="19"/>
        </w:rPr>
        <w:t xml:space="preserve"> Paul A. David, “Path Dependence and the Quest for Historical Economics”, </w:t>
      </w:r>
      <w:hyperlink r:id="rId23">
        <w:r>
          <w:rPr>
            <w:color w:val="2B6F6D"/>
            <w:sz w:val="19"/>
            <w:szCs w:val="19"/>
            <w:u w:val="single"/>
          </w:rPr>
          <w:t>https://www.nuffield.ox.ac.uk/economics/history/paper20/path.htm</w:t>
        </w:r>
      </w:hyperlink>
    </w:p>
    <w:p>
      <w:pPr>
        <w:widowControl/>
        <w:spacing w:before="0" w:after="80" w:line="300" w:lineRule="auto"/>
        <w:ind w:firstLine="0" w:left="170" w:right="0"/>
        <w:jc w:val="left"/>
      </w:pPr>
      <w:r>
        <w:rPr>
          <w:rFonts w:ascii="Noto Sans CJK SC" w:hAnsi="Noto Sans CJK SC" w:eastAsia="Noto Sans CJK SC"/>
          <w:color w:val="2B6F6D"/>
          <w:sz w:val="15"/>
          <w:vertAlign w:val="superscript"/>
        </w:rPr>
        <w:t>[14]</w:t>
      </w:r>
      <w:r>
        <w:rPr>
          <w:rFonts w:ascii="Noto Serif CJK SC" w:hAnsi="Noto Serif CJK SC" w:eastAsia="Noto Serif CJK SC"/>
          <w:sz w:val="19"/>
        </w:rPr>
        <w:t xml:space="preserve"> Brynjolfsson, Rock and Syverson, “The Productivity J-Curve”, </w:t>
      </w:r>
      <w:hyperlink r:id="rId24">
        <w:r>
          <w:rPr>
            <w:color w:val="2B6F6D"/>
            <w:sz w:val="19"/>
            <w:szCs w:val="19"/>
            <w:u w:val="single"/>
          </w:rPr>
          <w:t>https://www.nber.org/system/files/working_papers/w25148/w25148.pdf</w:t>
        </w:r>
      </w:hyperlink>
    </w:p>
    <w:p>
      <w:pPr>
        <w:widowControl/>
        <w:spacing w:before="0" w:after="80" w:line="300" w:lineRule="auto"/>
        <w:ind w:firstLine="0" w:left="170" w:right="0"/>
        <w:jc w:val="left"/>
      </w:pPr>
      <w:r>
        <w:rPr>
          <w:rFonts w:ascii="Noto Sans CJK SC" w:hAnsi="Noto Sans CJK SC" w:eastAsia="Noto Sans CJK SC"/>
          <w:color w:val="2B6F6D"/>
          <w:sz w:val="15"/>
          <w:vertAlign w:val="superscript"/>
        </w:rPr>
        <w:t>[15]</w:t>
      </w:r>
      <w:r>
        <w:rPr>
          <w:rFonts w:ascii="Noto Serif CJK SC" w:hAnsi="Noto Serif CJK SC" w:eastAsia="Noto Serif CJK SC"/>
          <w:sz w:val="19"/>
        </w:rPr>
        <w:t xml:space="preserve"> “Interlocking Complementarities and Institutional Change”, </w:t>
      </w:r>
      <w:hyperlink r:id="rId25">
        <w:r>
          <w:rPr>
            <w:color w:val="2B6F6D"/>
            <w:sz w:val="19"/>
            <w:szCs w:val="19"/>
            <w:u w:val="single"/>
          </w:rPr>
          <w:t>https://www.cambridge.org/core/journals/journal-of-institutional-economics/article/abs/interlocking-complementarities-and-institutional-change/0B3C96E1906A5AF766B779ACAE79790F</w:t>
        </w:r>
      </w:hyperlink>
    </w:p>
    <w:p>
      <w:pPr>
        <w:pStyle w:val="Heading1"/>
        <w:widowControl/>
      </w:pPr>
      <w:r>
        <w:rPr>
          <w:rFonts w:ascii="Noto Sans CJK SC" w:hAnsi="Noto Sans CJK SC" w:eastAsia="Noto Sans CJK SC"/>
          <w:color w:val="1F4E4D"/>
          <w:sz w:val="33"/>
        </w:rPr>
        <w:t>最后检查</w:t>
      </w:r>
    </w:p>
    <w:p>
      <w:pPr>
        <w:pStyle w:val="ListBullet"/>
        <w:widowControl/>
        <w:spacing w:after="60" w:line="348" w:lineRule="auto"/>
        <w:ind w:left="510" w:hanging="227"/>
        <w:jc w:val="both"/>
      </w:pPr>
      <w:r>
        <w:rPr>
          <w:rFonts w:ascii="Noto Serif CJK SC" w:hAnsi="Noto Serif CJK SC" w:eastAsia="Noto Serif CJK SC"/>
          <w:b/>
          <w:sz w:val="22"/>
        </w:rPr>
        <w:t>开头是否抓人：</w:t>
      </w:r>
      <w:r>
        <w:rPr>
          <w:rFonts w:ascii="Noto Serif CJK SC" w:hAnsi="Noto Serif CJK SC" w:eastAsia="Noto Serif CJK SC"/>
          <w:sz w:val="22"/>
        </w:rPr>
        <w:t>以毕昇与古腾堡相隔四百年的两间作坊建立认知冲突，并立即提出“同一种技术为何产生不同社会”的问题。</w:t>
      </w:r>
    </w:p>
    <w:p>
      <w:pPr>
        <w:pStyle w:val="ListBullet"/>
        <w:widowControl/>
        <w:spacing w:after="60" w:line="348" w:lineRule="auto"/>
        <w:ind w:left="510" w:hanging="227"/>
        <w:jc w:val="both"/>
      </w:pPr>
      <w:r>
        <w:rPr>
          <w:rFonts w:ascii="Noto Serif CJK SC" w:hAnsi="Noto Serif CJK SC" w:eastAsia="Noto Serif CJK SC"/>
          <w:b/>
          <w:sz w:val="22"/>
        </w:rPr>
        <w:t>故事是否真实：</w:t>
      </w:r>
      <w:r>
        <w:rPr>
          <w:rFonts w:ascii="Noto Serif CJK SC" w:hAnsi="Noto Serif CJK SC" w:eastAsia="Noto Serif CJK SC"/>
          <w:sz w:val="22"/>
        </w:rPr>
        <w:t>毕昇活字、宋代印刷扩张、古腾堡印刷及路德文本传播均有可靠资料支持；未虚构人物对话和心理。</w:t>
      </w:r>
    </w:p>
    <w:p>
      <w:pPr>
        <w:pStyle w:val="ListBullet"/>
        <w:widowControl/>
        <w:spacing w:after="60" w:line="348" w:lineRule="auto"/>
        <w:ind w:left="510" w:hanging="227"/>
        <w:jc w:val="both"/>
      </w:pPr>
      <w:r>
        <w:rPr>
          <w:rFonts w:ascii="Noto Serif CJK SC" w:hAnsi="Noto Serif CJK SC" w:eastAsia="Noto Serif CJK SC"/>
          <w:b/>
          <w:sz w:val="22"/>
        </w:rPr>
        <w:t>因果是否完整：</w:t>
      </w:r>
      <w:r>
        <w:rPr>
          <w:rFonts w:ascii="Noto Serif CJK SC" w:hAnsi="Noto Serif CJK SC" w:eastAsia="Noto Serif CJK SC"/>
          <w:sz w:val="22"/>
        </w:rPr>
        <w:t>技术能力变化之后，依次解释制度互补、路径依赖、治理主体竞争、中心化与分散化，以及技术制度共同演化。</w:t>
      </w:r>
    </w:p>
    <w:p>
      <w:pPr>
        <w:pStyle w:val="ListBullet"/>
        <w:widowControl/>
        <w:spacing w:after="60" w:line="348" w:lineRule="auto"/>
        <w:ind w:left="510" w:hanging="227"/>
        <w:jc w:val="both"/>
      </w:pPr>
      <w:r>
        <w:rPr>
          <w:rFonts w:ascii="Noto Serif CJK SC" w:hAnsi="Noto Serif CJK SC" w:eastAsia="Noto Serif CJK SC"/>
          <w:b/>
          <w:sz w:val="22"/>
        </w:rPr>
        <w:t>案例是否服务主线：</w:t>
      </w:r>
      <w:r>
        <w:rPr>
          <w:rFonts w:ascii="Noto Serif CJK SC" w:hAnsi="Noto Serif CJK SC" w:eastAsia="Noto Serif CJK SC"/>
          <w:sz w:val="22"/>
        </w:rPr>
        <w:t>印刷作为主案例贯穿全章；电力、水利、铁路、互联网和人工智能用于验证不同机制，没有替代主线。</w:t>
      </w:r>
    </w:p>
    <w:p>
      <w:pPr>
        <w:pStyle w:val="ListBullet"/>
        <w:widowControl/>
        <w:spacing w:after="60" w:line="348" w:lineRule="auto"/>
        <w:ind w:left="510" w:hanging="227"/>
        <w:jc w:val="both"/>
      </w:pPr>
      <w:r>
        <w:rPr>
          <w:rFonts w:ascii="Noto Serif CJK SC" w:hAnsi="Noto Serif CJK SC" w:eastAsia="Noto Serif CJK SC"/>
          <w:b/>
          <w:sz w:val="22"/>
        </w:rPr>
        <w:t>是否避免技术决定论：</w:t>
      </w:r>
      <w:r>
        <w:rPr>
          <w:rFonts w:ascii="Noto Serif CJK SC" w:hAnsi="Noto Serif CJK SC" w:eastAsia="Noto Serif CJK SC"/>
          <w:sz w:val="22"/>
        </w:rPr>
        <w:t>明确区分物质约束、技术可能性、制度选择和最终社会结果。</w:t>
      </w:r>
    </w:p>
    <w:p>
      <w:pPr>
        <w:pStyle w:val="ListBullet"/>
        <w:widowControl/>
        <w:spacing w:after="60" w:line="348" w:lineRule="auto"/>
        <w:ind w:left="510" w:hanging="227"/>
        <w:jc w:val="both"/>
      </w:pPr>
      <w:r>
        <w:rPr>
          <w:rFonts w:ascii="Noto Serif CJK SC" w:hAnsi="Noto Serif CJK SC" w:eastAsia="Noto Serif CJK SC"/>
          <w:b/>
          <w:sz w:val="22"/>
        </w:rPr>
        <w:t>中西比较是否过度简化：</w:t>
      </w:r>
      <w:r>
        <w:rPr>
          <w:rFonts w:ascii="Noto Serif CJK SC" w:hAnsi="Noto Serif CJK SC" w:eastAsia="Noto Serif CJK SC"/>
          <w:sz w:val="22"/>
        </w:rPr>
        <w:t>强调双方内部差异，否定固定文明性格，比较的是政治规模、知识组织、市场结构和国家能力。</w:t>
      </w:r>
    </w:p>
    <w:p>
      <w:pPr>
        <w:pStyle w:val="ListBullet"/>
        <w:widowControl/>
        <w:spacing w:after="60" w:line="348" w:lineRule="auto"/>
        <w:ind w:left="510" w:hanging="227"/>
        <w:jc w:val="both"/>
      </w:pPr>
      <w:r>
        <w:rPr>
          <w:rFonts w:ascii="Noto Serif CJK SC" w:hAnsi="Noto Serif CJK SC" w:eastAsia="Noto Serif CJK SC"/>
          <w:b/>
          <w:sz w:val="22"/>
        </w:rPr>
        <w:t>结论是否超出证据：</w:t>
      </w:r>
      <w:r>
        <w:rPr>
          <w:rFonts w:ascii="Noto Serif CJK SC" w:hAnsi="Noto Serif CJK SC" w:eastAsia="Noto Serif CJK SC"/>
          <w:sz w:val="22"/>
        </w:rPr>
        <w:t>人工智能部分以条件性路径表述；未将未来集中化、职业变化或制度结果写成必然预言。</w:t>
      </w:r>
    </w:p>
    <w:p>
      <w:pPr>
        <w:widowControl/>
      </w:pPr>
    </w:p>
    <w:p>
      <w:pPr>
        <w:widowControl/>
        <w:spacing w:before="240"/>
        <w:jc w:val="right"/>
      </w:pPr>
      <w:r>
        <w:rPr>
          <w:rFonts w:ascii="Noto Sans CJK SC" w:hAnsi="Noto Sans CJK SC" w:eastAsia="Noto Sans CJK SC"/>
          <w:b/>
          <w:color w:val="646C6C"/>
          <w:sz w:val="19"/>
        </w:rPr>
        <w:t>第四章完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304" w:bottom="1162" w:left="1389" w:header="425" w:footer="425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C6C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spacing w:after="0"/>
      <w:jc w:val="left"/>
      <w:pBdr>
        <w:bottom w:val="single" w:sz="4" w:space="4" w:color="CBD7D5"/>
      </w:pBdr>
    </w:pPr>
    <w:r>
      <w:rPr>
        <w:rFonts w:ascii="Noto Sans CJK SC" w:hAnsi="Noto Sans CJK SC" w:eastAsia="Noto Sans CJK SC"/>
        <w:color w:val="646C6C"/>
        <w:sz w:val="17"/>
      </w:rPr>
      <w:t>《钢斧之后》</w:t>
    </w:r>
    <w:r>
      <w:rPr>
        <w:rFonts w:ascii="Noto Sans CJK SC" w:hAnsi="Noto Sans CJK SC" w:eastAsia="Noto Sans CJK SC"/>
        <w:color w:val="646C6C"/>
        <w:sz w:val="17"/>
      </w:rPr>
      <w:tab/>
      <w:t>第四章　技术为什么不会自动产生同一种社会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</w:pPr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ind w:firstLine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4D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ind w:firstLine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4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4E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 CJK SC" w:hAnsi="Noto Serif CJK SC" w:eastAsia="Noto Serif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erif CJK SC" w:hAnsi="Noto Serif CJK SC" w:eastAsia="Noto Serif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uides.loc.gov/martin-luther-priest-heretic-outlaw" TargetMode="External"/><Relationship Id="rId12" Type="http://schemas.openxmlformats.org/officeDocument/2006/relationships/hyperlink" Target="https://blogs.loc.gov/international-collections/2021/06/the-history-of-printing-in-asia-according-to-library-of-congress-asian-collections-part-1/" TargetMode="External"/><Relationship Id="rId13" Type="http://schemas.openxmlformats.org/officeDocument/2006/relationships/hyperlink" Target="https://www.cambridge.org/core/journals/journal-of-asian-studies/article/printed-world-books-publishing-culture-and-society-in-late-imperial-china/B5FE7CD31FC190C3560CC3AB83419A78" TargetMode="External"/><Relationship Id="rId14" Type="http://schemas.openxmlformats.org/officeDocument/2006/relationships/hyperlink" Target="https://www.cambridge.org/core/books/cambridge-history-of-china/sung-society-and-social-change/E80BE984A14F93E3ACC879DABBAC372E" TargetMode="External"/><Relationship Id="rId15" Type="http://schemas.openxmlformats.org/officeDocument/2006/relationships/hyperlink" Target="https://users.nber.org/~confer/2003/daes03/rousseau.pdf" TargetMode="External"/><Relationship Id="rId16" Type="http://schemas.openxmlformats.org/officeDocument/2006/relationships/hyperlink" Target="https://www.sciencedirect.com/science/article/pii/0954349X94900027" TargetMode="External"/><Relationship Id="rId17" Type="http://schemas.openxmlformats.org/officeDocument/2006/relationships/hyperlink" Target="https://onlinelibrary.wiley.com/doi/full/10.1111/j.1467-6486.2009.00913.x" TargetMode="External"/><Relationship Id="rId18" Type="http://schemas.openxmlformats.org/officeDocument/2006/relationships/hyperlink" Target="https://www.nobelprize.org/prizes/economic-sciences/2009/ostrom/lecture/" TargetMode="External"/><Relationship Id="rId19" Type="http://schemas.openxmlformats.org/officeDocument/2006/relationships/hyperlink" Target="https://www.sciencedirect.com/science/article/pii/S2214629614000140" TargetMode="External"/><Relationship Id="rId20" Type="http://schemas.openxmlformats.org/officeDocument/2006/relationships/hyperlink" Target="https://www.cambridge.org/core/books/war-and-state-formation-in-ancient-china-and-early-modern-europe/F81552218F82BDF65C54DF0BC08759D0" TargetMode="External"/><Relationship Id="rId21" Type="http://schemas.openxmlformats.org/officeDocument/2006/relationships/hyperlink" Target="https://www.cambridge.org/core/books/cambridge-economic-history-of-china/merchants-and-commercial-networks/005D56BB0854F7EDBB033A49D18BC50B" TargetMode="External"/><Relationship Id="rId22" Type="http://schemas.openxmlformats.org/officeDocument/2006/relationships/hyperlink" Target="https://assets.press.princeton.edu/chapters/s7958.pdf" TargetMode="External"/><Relationship Id="rId23" Type="http://schemas.openxmlformats.org/officeDocument/2006/relationships/hyperlink" Target="https://www.nuffield.ox.ac.uk/economics/history/paper20/path.htm" TargetMode="External"/><Relationship Id="rId24" Type="http://schemas.openxmlformats.org/officeDocument/2006/relationships/hyperlink" Target="https://www.nber.org/system/files/working_papers/w25148/w25148.pdf" TargetMode="External"/><Relationship Id="rId25" Type="http://schemas.openxmlformats.org/officeDocument/2006/relationships/hyperlink" Target="https://www.cambridge.org/core/journals/journal-of-institutional-economics/article/abs/interlocking-complementarities-and-institutional-change/0B3C96E1906A5AF766B779ACAE79790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第四章　技术为什么不会自动产生同一种社会</dc:title>
  <dc:subject>《钢斧之后：技术如何重写权力、制度与人的生活》</dc:subject>
  <dc:creator>《钢斧之后》项目</dc:creator>
  <cp:keywords>技术史, 制度, 路径依赖, 印刷术, 人工智能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