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选题：七天以上旅行，怎样设计“恢复日”　·　行事卷 · 母题05-10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05-10-5</w:t>
      </w:r>
    </w:p>
    <w:p>
      <w:r>
        <w:rPr>
          <w:b/>
        </w:rPr>
        <w:t>选题：</w:t>
      </w:r>
      <w:r>
        <w:t>七天以上旅行，怎样设计“恢复日”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长途旅行节奏（05-10）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搞清「长途旅行节奏」上真正影响结果的变量，并得到一条能照做的家庭方法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CORE_CONCLUSION：七天以上长途要设计恢复日：换城/舟车那天下调密度，长途不垮。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反常识(可选成片钩子)：旅行越长越要留一个空白日。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旁白只讲因果，不描述画面。骨架：先抛出「七天以上旅行，怎样设计“恢复日”」的判断，再讲机制/变量，最后落到一句家庭方法。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把“长途旅行节奏”拆成“对象—环境—动作—时间—维护”五个变量，找出其中最容易被忽略的一个。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源自「长途旅行节奏」知识骨架的主视觉事件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START_FRAME（首帧·五锁）：同一行事空间近景：行李/票/车站物件居中，地铁站/高铁/机场空间环境清晰，车站灯光，日光，构图以七天以上旅行，怎样设计“恢复日”对应的冲突对象为主体。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七天以上旅行，怎样设计“恢复日”」（母题变量：换城/换酒店有高隐藏成本、交通日降低活动密度、第一天适应与最后一天收尾、长途安排恢复日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七天以上旅行，怎样设计“恢复日”」（母题变量：换城/换酒店有高隐藏成本、交通日降低活动密度、第一天适应与最后一天收尾、长途安排恢复日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七天以上旅行，怎样设计“恢复日”」（母题变量：换城/换酒店有高隐藏成本、交通日降低活动密度、第一天适应与最后一天收尾、长途安排恢复日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七天以上旅行，怎样设计“恢复日”」（母题变量：换城/换酒店有高隐藏成本、交通日降低活动密度、第一天适应与最后一天收尾、长途安排恢复日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七天以上旅行，怎样设计“恢复日”？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「长途旅行节奏」核心对象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长途旅行节奏：七天以上旅行，怎样设计“恢复日”（给家里转一份可照做的）</w:t>
      </w:r>
    </w:p>
    <w:p>
      <w:r>
        <w:rPr>
          <w:b/>
        </w:rPr>
        <w:t>抖音：</w:t>
      </w:r>
      <w:r>
        <w:t>七天以上旅行，怎样设计“恢复日”？先讲真相再给方法</w:t>
      </w:r>
    </w:p>
    <w:p>
      <w:r>
        <w:rPr>
          <w:b/>
        </w:rPr>
        <w:t>小红书：</w:t>
      </w:r>
      <w:r>
        <w:t>长途旅行节奏｜七天以上旅行，怎样设计“恢复日”（收藏复查）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