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货币金融学核心案例</w:t>
      </w:r>
    </w:p>
    <w:p>
      <w:pPr>
        <w:jc w:val="center"/>
      </w:pPr>
      <w:r>
        <w:rPr>
          <w:rFonts w:ascii="Noto Sans CJK SC" w:hAnsi="Noto Sans CJK SC" w:eastAsia="Noto Sans CJK SC"/>
          <w:color w:val="444444"/>
          <w:sz w:val="30"/>
        </w:rPr>
        <w:t>用硅谷银行倒闭理解基础货币、M2、准备金、货币创造与金融危机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/>
          <w:sz w:val="24"/>
        </w:rPr>
        <w:t>案例主线：2023年美国 Silicon Valley Bank（SVB）倒闭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1"/>
        </w:rPr>
        <w:t>版本：深度学习版｜适合金融学、宏观经济、投资研究入门到进阶</w:t>
      </w:r>
    </w:p>
    <w:p>
      <w:r>
        <w:br w:type="page"/>
      </w:r>
    </w:p>
    <w:p>
      <w:pPr>
        <w:pStyle w:val="Heading1"/>
      </w:pPr>
      <w:r>
        <w:t>0. 阅读说明：为什么用一个银行倒闭案例学习货币金融学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货币金融学不只是“央行印钱”或“银行吸收存款再放贷款”。它研究的是一个循环系统：央行货币、商业银行信用、金融市场利率、资产价格、资产负债表与实体经济之间如何相互影响。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SVB倒闭是一个特别适合作为入门案例的事件。它不是典型的贷款坏账危机，而是“低利率时期买入长期安全资产、加息后资产价格下跌、未保险大额存款快速流出、信心崩溃”的连锁反应。这个链条能把货币金融学的核心概念一次性串起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学习目标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读完本文后，应能用资产负债表解释：什么是基础货币、M2、准备金、货币创造、央行资产负债表、公开市场操作、银行间市场、收益率曲线、存款保险，以及这些机制如何在金融危机中互相放大。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概念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一句话理解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SVB中的对应现象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基础货币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央行直接发行或创造的最终结算货币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银行需要准备金和现金应对提款与清算</w:t>
            </w:r>
          </w:p>
        </w:tc>
      </w:tr>
      <w:tr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居民和企业可用于支付/储蓄的大部分银行存款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SVB客户的大额企业存款属于广义货币的重要组成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准备金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银行在央行账户中的余额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银行间支付和流动性缓冲依赖准备金</w:t>
            </w:r>
          </w:p>
        </w:tc>
      </w:tr>
      <w:tr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货币创造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银行发放贷款时同时创造存款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信用扩张使金融体系更依赖信心与流动性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央行资产负债表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央行用资产端投放基础货币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BTFP等工具通过央行资产负债表提供流动性</w:t>
            </w:r>
          </w:p>
        </w:tc>
      </w:tr>
      <w:tr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公开市场操作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央行买卖证券或回购影响准备金和短端利率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货币政策利率变化通过金融资产价格传导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银行间市场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银行之间拆借准备金和流动性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压力时期银行间信任下降，流动性需求上升</w:t>
            </w:r>
          </w:p>
        </w:tc>
      </w:tr>
      <w:tr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收益率曲线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不同期限利率构成的价格体系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长期债券因加息和曲线变化产生未实现亏损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存款保险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降低储户挤兑动机的制度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SVB未保险存款比例高，挤兑速度极快</w:t>
            </w:r>
          </w:p>
        </w:tc>
      </w:tr>
      <w:tr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金融危机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资产负债表被冲击后信心、流动性和价格联动坍缩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局部银行风险引发系统性担忧</w:t>
            </w:r>
          </w:p>
        </w:tc>
      </w:tr>
    </w:tbl>
    <w:p>
      <w:pPr>
        <w:spacing w:after="40"/>
      </w:pPr>
    </w:p>
    <w:p>
      <w:pPr>
        <w:pStyle w:val="Heading1"/>
      </w:pPr>
      <w:r>
        <w:t>1. 真实案例：SVB为什么会倒闭</w:t>
      </w:r>
    </w:p>
    <w:p>
      <w:pPr>
        <w:pStyle w:val="Heading2"/>
      </w:pPr>
      <w:r>
        <w:t>1.1 从“存款暴涨”到“资产错配”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2020-2021年，美国利率极低，科技行业和风险投资融资活跃。大量创业公司融资后把资金存在SVB，导致其负债端存款快速增长。银行拿到大量存款后，需要在资产端配置出去，于是购买了大量美国国债、机构债和MBS等长期证券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表面看，这些证券信用风险较低，因为许多资产背后是美国政府或政府支持机构。但低信用风险不等于低利率风险。长期债券在利率上行时价格会下跌，久期越长，价格越敏感。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SVB资产端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风险特征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关键问题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现金/准备金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流动性最高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数量不足时无法应对集中提款</w:t>
            </w:r>
          </w:p>
        </w:tc>
      </w:tr>
      <w:tr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美国国债/机构债/MBS</w:t>
            </w:r>
          </w:p>
        </w:tc>
        <w:tc>
          <w:tcPr>
            <w:tcW w:type="dxa" w:w="311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信用风险低，但久期较长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加息后市值下跌，出售会实现亏损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贷款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与客户行业高度相关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科技/VC周期下行时风险上升</w:t>
            </w:r>
          </w:p>
        </w:tc>
      </w:tr>
      <w:tr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股东资本</w:t>
            </w:r>
          </w:p>
        </w:tc>
        <w:tc>
          <w:tcPr>
            <w:tcW w:type="dxa" w:w="311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吸收亏损的垫子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当亏损超过资本，偿付能力受质疑</w:t>
            </w:r>
          </w:p>
        </w:tc>
      </w:tr>
    </w:tbl>
    <w:p>
      <w:pPr>
        <w:spacing w:after="40"/>
      </w:pPr>
    </w:p>
    <w:p>
      <w:pPr>
        <w:pStyle w:val="Heading2"/>
      </w:pPr>
      <w:r>
        <w:t>1.2 加息如何打穿资产负债表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2022年后，美联储快速加息。利率上升会使既有低息长期债券价格下跌。若银行可以一直持有到期，未实现亏损可能不立即影响现金流；但如果储户提款，银行被迫出售证券，未实现亏损就会变成已实现亏损。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债券价格的核心关系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利率上升 → 新债收益率更高 → 旧债吸引力下降 → 旧债价格下跌。久期越长，价格跌幅越大。粗略近似：债券价格变动率 ≈ - 久期 × 收益率变动。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2023年3月8日，SVB宣布出售约210亿美元可供出售证券，并确认约18亿美元税后亏损，同时计划筹资约22.5亿美元补充资本。这个动作原本是“修复资产负债表”，但市场将其解读为“银行可能缺钱”，挤兑随即发生。</w:t>
      </w:r>
    </w:p>
    <w:p>
      <w:pPr>
        <w:pStyle w:val="Heading2"/>
      </w:pPr>
      <w:r>
        <w:t>1.3 现代银行挤兑为什么会非常快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传统银行挤兑需要排队取现金；现代银行挤兑只需要在线转账。SVB客户又高度集中在科技企业、VC和创业公司，很多存款金额超过存款保险上限。未保险存款人一旦担心损失，会立刻转出资金。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在SVB事件中，监管报告指出未保险存款快速流出，一天内提款需求极大。未保险、大额、同质化、高信息互联的客户结构，使银行挤兑从“街头排队”变成“群聊转账”。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传统挤兑</w:t>
            </w:r>
          </w:p>
        </w:tc>
        <w:tc>
          <w:tcPr>
            <w:tcW w:type="dxa" w:w="42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现代数字挤兑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储户线下排队，速度受物理限制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网上银行/企业支付系统可瞬间转出</w:t>
            </w:r>
          </w:p>
        </w:tc>
      </w:tr>
      <w:tr>
        <w:tc>
          <w:tcPr>
            <w:tcW w:type="dxa" w:w="425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储户信息分散</w:t>
            </w:r>
          </w:p>
        </w:tc>
        <w:tc>
          <w:tcPr>
            <w:tcW w:type="dxa" w:w="425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VC、企业群体信息高度互联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小额储户占比较高，存款保险能稳定预期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大额未保险存款占比高，抢跑动机强</w:t>
            </w:r>
          </w:p>
        </w:tc>
      </w:tr>
      <w:tr>
        <w:tc>
          <w:tcPr>
            <w:tcW w:type="dxa" w:w="425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监管与央行有更长反应窗口</w:t>
            </w:r>
          </w:p>
        </w:tc>
        <w:tc>
          <w:tcPr>
            <w:tcW w:type="dxa" w:w="425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危机可能在数小时内失控</w:t>
            </w:r>
          </w:p>
        </w:tc>
      </w:tr>
    </w:tbl>
    <w:p>
      <w:pPr>
        <w:spacing w:after="40"/>
      </w:pPr>
    </w:p>
    <w:p>
      <w:pPr>
        <w:pStyle w:val="Heading1"/>
      </w:pPr>
      <w:r>
        <w:t>2. 基础货币：现代货币体系的“最终结算层”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基础货币通常包括流通中的现金和商业银行在中央银行的准备金。它是央行负债，是银行体系最终清算和公众现金需求的基础。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是谁的资产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是谁的负债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纸币/硬币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公众和银行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中央银行/财政货币当局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零售支付、现金储藏</w:t>
            </w:r>
          </w:p>
        </w:tc>
      </w:tr>
      <w:tr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银行准备金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商业银行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中央银行</w:t>
            </w:r>
          </w:p>
        </w:tc>
        <w:tc>
          <w:tcPr>
            <w:tcW w:type="dxa" w:w="283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银行间清算、满足监管、流动性缓冲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基础货币不是“全部货币”。现代经济中，公众日常使用最多的是银行存款。银行存款是商业银行负债，不是央行负债。理解这一区别，是理解M2、货币创造和金融危机的起点。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关键辨析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现金和准备金是央行货币；活期存款、定期存款等是商业银行货币。商业银行货币平时像钱一样可支付，但其可靠性依赖银行资产质量、流动性和制度保障。</w:t>
            </w:r>
          </w:p>
        </w:tc>
      </w:tr>
    </w:tbl>
    <w:p>
      <w:pPr>
        <w:spacing w:after="40"/>
      </w:pPr>
    </w:p>
    <w:p>
      <w:pPr>
        <w:pStyle w:val="Heading1"/>
      </w:pPr>
      <w:r>
        <w:t>3. M2：为什么“钱”大多是银行存款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M2通常被称为广义货币，包含现金、活期存款、储蓄存款、定期存款以及其他高度货币化的存款工具。各国统计口径不完全相同，但共同点是：M2比基础货币更接近居民和企业实际拥有的可支付、可储蓄资金。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流动性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基础货币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现金 + 银行准备金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最高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央行负债，最终清算工具</w:t>
            </w:r>
          </w:p>
        </w:tc>
      </w:tr>
      <w:tr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M1</w:t>
            </w:r>
          </w:p>
        </w:tc>
        <w:tc>
          <w:tcPr>
            <w:tcW w:type="dxa" w:w="283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现金 + 活期存款</w:t>
            </w:r>
          </w:p>
        </w:tc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很高</w:t>
            </w:r>
          </w:p>
        </w:tc>
        <w:tc>
          <w:tcPr>
            <w:tcW w:type="dxa" w:w="283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交易性货币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M1 + 储蓄/定期等准货币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高，但低于M1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反映银行体系信用扩张后的货币规模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当银行贷款扩张时，存款往往同步扩张，M2增加；当企业还贷、银行缩表或信用萎缩时，存款可能减少，M2增速下降。因此，M2不是孤立数字，而是信用体系的影子。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SVB启示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SVB客户账上的企业存款是广义货币的一部分。对企业而言，那是“钱”；对SVB而言，那是“随时可能被取走的负债”。当负债端突然流失，银行必须用资产端变现来偿还。</w:t>
            </w:r>
          </w:p>
        </w:tc>
      </w:tr>
    </w:tbl>
    <w:p>
      <w:pPr>
        <w:spacing w:after="40"/>
      </w:pPr>
    </w:p>
    <w:p>
      <w:pPr>
        <w:pStyle w:val="Heading1"/>
      </w:pPr>
      <w:r>
        <w:t>4. 准备金：银行之间为什么需要央行账户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银行A的客户向银行B的客户转账，表面上只是两个客户账户变化；底层则需要银行A和银行B之间完成清算。银行之间通常通过央行准备金账户结算。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客户甲在A银行向客户乙在B银行转账100万元。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A银行减少甲的存款负债100万元。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B银行增加乙的存款负债100万元。</w:t>
      </w:r>
    </w:p>
    <w:p>
      <w:pPr>
        <w:pStyle w:val="ListNumber"/>
        <w:spacing w:after="60"/>
      </w:pPr>
      <w:r>
        <w:rPr>
          <w:rFonts w:ascii="Noto Sans CJK SC" w:hAnsi="Noto Sans CJK SC" w:eastAsia="Noto Sans CJK SC"/>
          <w:sz w:val="20"/>
        </w:rPr>
        <w:t>A银行向B银行转移100万元准备金，完成银行间最终结算。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因此，准备金是银行体系内部的“终极支付货币”。公众通常看不到准备金，但准备金决定了银行清算、短端利率和央行政策实施。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准备金不等于银行对公众的可贷资金池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现代货币体系中，贷款首先受资本、风险、监管、贷款需求和盈利约束。准备金不足会影响清算和流动性，但不是简单机械地“有多少准备金就能贷多少”。</w:t>
            </w:r>
          </w:p>
        </w:tc>
      </w:tr>
    </w:tbl>
    <w:p>
      <w:pPr>
        <w:spacing w:after="40"/>
      </w:pPr>
    </w:p>
    <w:p>
      <w:pPr>
        <w:pStyle w:val="Heading1"/>
      </w:pPr>
      <w:r>
        <w:t>5. 货币创造：贷款如何创造存款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商业银行发放贷款时，常见会计结果是：资产端增加一笔贷款，负债端同时增加借款人的存款。也就是说，银行信用扩张本身会创造存款货币。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银行资产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变化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银行负债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企业贷款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+100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企业存款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+100</w:t>
            </w:r>
          </w:p>
        </w:tc>
      </w:tr>
      <w:tr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合计资产</w:t>
            </w:r>
          </w:p>
        </w:tc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+100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合计负债</w:t>
            </w:r>
          </w:p>
        </w:tc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+100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但这并不意味着银行可以无限创造货币。银行创造存款的能力受到资本充足率、流动性监管、准备金清算、借款人信用质量、抵押品价值、监管政策和市场信心的约束。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约束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如果恶化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资本约束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银行需要足够股东资本吸收亏损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不敢放贷或被迫补资本</w:t>
            </w:r>
          </w:p>
        </w:tc>
      </w:tr>
      <w:tr>
        <w:tc>
          <w:tcPr>
            <w:tcW w:type="dxa" w:w="181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流动性约束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银行需要现金/准备金/高流动资产应对提款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可能被迫卖资产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信用约束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借款人必须有偿还能力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坏账上升侵蚀资本</w:t>
            </w:r>
          </w:p>
        </w:tc>
      </w:tr>
      <w:tr>
        <w:tc>
          <w:tcPr>
            <w:tcW w:type="dxa" w:w="181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利率约束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资金成本和资产收益率要匹配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净息差压缩或资产市值下跌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信心约束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存款人相信银行能偿付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挤兑可能自我实现</w:t>
            </w:r>
          </w:p>
        </w:tc>
      </w:tr>
    </w:tbl>
    <w:p>
      <w:pPr>
        <w:spacing w:after="40"/>
      </w:pPr>
    </w:p>
    <w:p>
      <w:pPr>
        <w:pStyle w:val="Heading1"/>
      </w:pPr>
      <w:r>
        <w:t>6. 商业银行资产负债表：货币金融学的核心地图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理解银行，最重要不是从利润表开始，而是从资产负债表开始。银行的负债主要是存款和批发融资；资产主要是贷款、证券、准备金和现金；股东资本是吸收亏损的缓冲层。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资产端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特点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负债与资本端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特点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准备金/现金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流动性最高，收益较低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活期/企业存款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可随时流出，稳定性取决于客户结构</w:t>
            </w:r>
          </w:p>
        </w:tc>
      </w:tr>
      <w:tr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贷款</w:t>
            </w:r>
          </w:p>
        </w:tc>
        <w:tc>
          <w:tcPr>
            <w:tcW w:type="dxa" w:w="283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收益较高，流动性低，信用风险高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定期存款/同业融资</w:t>
            </w:r>
          </w:p>
        </w:tc>
        <w:tc>
          <w:tcPr>
            <w:tcW w:type="dxa" w:w="283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期限与成本不同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证券投资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流动性较高，但有利率风险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股东资本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亏损缓冲，保护债权人和存款人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银行脆弱性的本质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银行用短期、可赎回、看似安全的负债，支持长期、不完全流动、价格会波动的资产。这个期限转换和流动性转换对经济有价值，但也让银行天然害怕集中提款。</w:t>
            </w:r>
          </w:p>
        </w:tc>
      </w:tr>
    </w:tbl>
    <w:p>
      <w:pPr>
        <w:spacing w:after="40"/>
      </w:pPr>
    </w:p>
    <w:p>
      <w:pPr>
        <w:pStyle w:val="Heading1"/>
      </w:pPr>
      <w:r>
        <w:t>7. 央行资产负债表：央行如何创造基础货币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央行也有资产负债表。央行买入资产或向银行贷款时，通常会在负债端创造准备金或现金。央行资产负债表的扩张和收缩，是理解货币政策和危机应对的关键。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央行资产</w:t>
            </w:r>
          </w:p>
        </w:tc>
        <w:tc>
          <w:tcPr>
            <w:tcW w:type="dxa" w:w="45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央行负债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国债、机构债、MBS等证券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商业银行准备金</w:t>
            </w:r>
          </w:p>
        </w:tc>
      </w:tr>
      <w:tr>
        <w:tc>
          <w:tcPr>
            <w:tcW w:type="dxa" w:w="453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对商业银行贷款/再贷款/贴现窗口贷款</w:t>
            </w:r>
          </w:p>
        </w:tc>
        <w:tc>
          <w:tcPr>
            <w:tcW w:type="dxa" w:w="453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流通中的现金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外汇资产、黄金等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政府存款、逆回购等其他负债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危机时期，央行常常通过扩大资产端向银行体系提供流动性。例如，BTFP允许合格银行以美国国债、机构债、机构MBS等抵押品获得最长一年融资，抵押品按面值估值，目的是缓解“被迫出售长期证券实现亏损”的压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央行不是普通银行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央行负债是整个银行体系的最终结算资产。它能创造准备金，但仍受通胀、汇率、金融稳定、政治合法性和制度规则约束。</w:t>
            </w:r>
          </w:p>
        </w:tc>
      </w:tr>
    </w:tbl>
    <w:p>
      <w:pPr>
        <w:spacing w:after="40"/>
      </w:pPr>
    </w:p>
    <w:p>
      <w:pPr>
        <w:pStyle w:val="Heading1"/>
      </w:pPr>
      <w:r>
        <w:t>8. 公开市场操作：央行如何影响短端利率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公开市场操作（Open Market Operations, OMO）指央行在市场上买卖证券或开展回购、逆回购等交易，以影响银行体系准备金和短期利率。传统框架下，央行买入证券会增加准备金，卖出证券会减少准备金。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央行动作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商业银行准备金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短端资金价格倾向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宏观含义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买入证券/正回购投放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下降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流动性宽松</w:t>
            </w:r>
          </w:p>
        </w:tc>
      </w:tr>
      <w:tr>
        <w:tc>
          <w:tcPr>
            <w:tcW w:type="dxa" w:w="255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卖出证券/逆回购回笼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减少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上升</w:t>
            </w:r>
          </w:p>
        </w:tc>
        <w:tc>
          <w:tcPr>
            <w:tcW w:type="dxa" w:w="283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流动性收紧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提高政策利率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未必立即减少准备金，但提高资金机会成本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压低信贷和总需求</w:t>
            </w:r>
          </w:p>
        </w:tc>
      </w:tr>
      <w:tr>
        <w:tc>
          <w:tcPr>
            <w:tcW w:type="dxa" w:w="255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降低政策利率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降低银行和市场融资成本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下降</w:t>
            </w:r>
          </w:p>
        </w:tc>
        <w:tc>
          <w:tcPr>
            <w:tcW w:type="dxa" w:w="2835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刺激信贷和总需求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2008年后，美国等经济体进入“充裕准备金”框架，央行更多通过准备金利率、隔夜逆回购利率等管理利率走廊，而不仅仅依靠稀缺准备金数量。理解这一点，有助于避免把现代货币政策简化成“央行买债=马上贷款暴增”。</w:t>
      </w:r>
    </w:p>
    <w:p>
      <w:pPr>
        <w:pStyle w:val="Heading1"/>
      </w:pPr>
      <w:r>
        <w:t>9. 银行间市场：金融体系的血液循环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银行间市场是金融机构之间借入和借出短期资金、回购证券、交换流动性的市场。它的核心功能是让有临时资金缺口的银行获得准备金或现金，让资金有富余的银行获得收益。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银行间利率反映金融体系短期流动性价格。正常时期，银行间市场能平滑个别银行的流动性波动；压力时期，银行互相不信任，拆借意愿下降，流动性需求上升，利率波动扩大。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交易内容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联邦基金/拆借市场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无抵押短期准备金借贷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信用风险、信任收缩</w:t>
            </w:r>
          </w:p>
        </w:tc>
      </w:tr>
      <w:tr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回购市场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以证券抵押借入现金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抵押品价格、折扣率、滚续风险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同业存单/同业融资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银行间中短期融资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期限错配、市场关闭风险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危机观察指标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当银行间利率上行、回购折扣率提高、期限融资困难、央行工具使用量上升时，说明金融机构开始更看重现金和准备金，信任正在变贵。</w:t>
            </w:r>
          </w:p>
        </w:tc>
      </w:tr>
    </w:tbl>
    <w:p>
      <w:pPr>
        <w:spacing w:after="40"/>
      </w:pPr>
    </w:p>
    <w:p>
      <w:pPr>
        <w:pStyle w:val="Heading1"/>
      </w:pPr>
      <w:r>
        <w:t>10. 收益率曲线：利率风险如何进入银行账本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收益率曲线是不同期限债券收益率的集合。它既反映市场对未来短期利率、通胀、增长和风险溢价的预期，也决定债券、贷款、按揭、企业融资的价格。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曲线形态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可能含义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银行影响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正常上斜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长期利率高于短期利率，补偿期限风险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借短贷长通常有利于净息差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平坦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市场预期未来增长/通胀下降或政策转向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期限转换收益下降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倒挂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短期利率高于长期利率，常见于紧缩周期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存款成本上升，长期资产市值承压</w:t>
            </w:r>
          </w:p>
        </w:tc>
      </w:tr>
      <w:tr>
        <w:tc>
          <w:tcPr>
            <w:tcW w:type="dxa" w:w="198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快速上移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所有期限利率上升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长期债券价格下跌，未实现亏损扩大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SVB的关键不是“买了垃圾资产”，而是在低利率时期持有了大量长久期资产。当收益率曲线在加息周期中上移，资产价格下跌；当存款流出迫使其出售证券，利率风险转化为资本损失。</w:t>
      </w:r>
    </w:p>
    <w:p>
      <w:pPr>
        <w:pStyle w:val="Heading1"/>
      </w:pPr>
      <w:r>
        <w:t>11. 存款保险：为什么要切断“抢跑”逻辑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银行挤兑的逻辑是“如果别人先取钱，银行资产被迫出售，我后取可能拿不到钱；所以我必须先取”。存款保险的作用，是让小额储户相信即便银行失败，符合条件的存款也能得到保障，从而不必抢跑。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存款保险的好处与代价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好处是稳定预期、降低挤兑概率；代价是可能产生道德风险：如果储户不关心银行风险，银行可能更愿意冒险。因此存款保险必须与资本监管、流动性监管、审慎监督和处置机制配套。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SVB的特殊性在于未保险存款比例极高，许多客户是企业而非个人，账户余额远超保险上限。对这些客户而言，存款保险的稳定作用有限，挤兑动机更强。</w:t>
      </w:r>
    </w:p>
    <w:p>
      <w:pPr>
        <w:pStyle w:val="Heading1"/>
      </w:pPr>
      <w:r>
        <w:t>12. 金融危机：从单点冲击到系统性扩散</w:t>
      </w: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金融危机不是单一坏消息，而是一系列资产负债表、价格、流动性和信心的反馈循环。一个局部问题之所以会变成系统性危机，是因为金融机构之间共享同类资产、融资来源、风险模型和市场预期。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繁荣期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信用扩张、资产价格上涨、风险感知下降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杠杆上升、期限错配扩大</w:t>
            </w:r>
          </w:p>
        </w:tc>
      </w:tr>
      <w:tr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触发点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利率上升、资产价格下跌、违约增加或融资收紧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账面亏损、保证金/资本压力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流动性阶段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市场参与者争抢现金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抛售资产、融资困难、利差扩大</w:t>
            </w:r>
          </w:p>
        </w:tc>
      </w:tr>
      <w:tr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信心阶段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对手方和储户不再相信偿付能力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挤兑、拆借冻结、股债暴跌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政策阶段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央行和财政介入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流动性工具、担保、重组、监管改革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SVB危机没有演变成2008年式全面危机，一个重要原因是政策响应较快：保护存款人、建立BTFP、强化监管讨论。它展示了现代危机管理的核心：既要阻止流动性恐慌，又要控制道德风险。</w:t>
      </w:r>
    </w:p>
    <w:p>
      <w:pPr>
        <w:pStyle w:val="Heading1"/>
      </w:pPr>
      <w:r>
        <w:t>13. 用一张链条图记住SVB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37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因果链条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低利率 + 科技融资繁荣 → 企业存款暴增</w:t>
            </w:r>
          </w:p>
        </w:tc>
      </w:tr>
      <w:tr>
        <w:tc>
          <w:tcPr>
            <w:tcW w:type="dxa" w:w="113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737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银行资产端配置长期国债/MBS → 久期风险上升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美联储快速加息 → 长期债券价格下跌</w:t>
            </w:r>
          </w:p>
        </w:tc>
      </w:tr>
      <w:tr>
        <w:tc>
          <w:tcPr>
            <w:tcW w:type="dxa" w:w="113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737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科技融资转冷 + 企业烧钱 → 存款开始流出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银行出售证券确认亏损 → 市场质疑资本充足</w:t>
            </w:r>
          </w:p>
        </w:tc>
      </w:tr>
      <w:tr>
        <w:tc>
          <w:tcPr>
            <w:tcW w:type="dxa" w:w="113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737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大额未保险存款人快速转账 → 挤兑爆发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监管接管 + 存款保护 + BTFP → 阻止系统性扩散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一句话总结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SVB不是“安全资产也会违约”的故事，而是“安全资产也有价格波动；银行如果用短期可赎回负债持有长期资产，一旦信心崩溃，流动性风险会把账面亏损变成真实危机”的故事。</w:t>
            </w:r>
          </w:p>
        </w:tc>
      </w:tr>
    </w:tbl>
    <w:p>
      <w:pPr>
        <w:spacing w:after="40"/>
      </w:pPr>
    </w:p>
    <w:p>
      <w:pPr>
        <w:pStyle w:val="Heading1"/>
      </w:pPr>
      <w:r>
        <w:t>14. 深度学习路线：从概念到研究能力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要掌握的问题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建议练习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第一阶段：资产负债表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谁的资产？谁的负债？现金流何时发生？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画出商业银行、央行、企业三张资产负债表</w:t>
            </w:r>
          </w:p>
        </w:tc>
      </w:tr>
      <w:tr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第二阶段：货币层级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基础货币、M1、M2、准备金分别是什么？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用一笔转账解释存款与准备金变化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第三阶段：货币创造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贷款如何创造存款？还贷如何消灭存款？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写出贷款发放、还本付息、坏账核销的T账户</w:t>
            </w:r>
          </w:p>
        </w:tc>
      </w:tr>
      <w:tr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第四阶段：政策传导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央行如何影响短端利率、收益率曲线和信贷？</w:t>
            </w:r>
          </w:p>
        </w:tc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追踪一次加息对债券、银行和企业的影响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第五阶段：危机分析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流动性风险、偿付能力风险、信心如何互相放大？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用SVB、雷曼、亚洲金融危机做对比表</w:t>
            </w:r>
          </w:p>
        </w:tc>
      </w:tr>
    </w:tbl>
    <w:p>
      <w:pPr>
        <w:spacing w:after="40"/>
      </w:pPr>
    </w:p>
    <w:p>
      <w:pPr>
        <w:pStyle w:val="Heading1"/>
      </w:pPr>
      <w:r>
        <w:t>15. 高频误区纠正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误区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更准确的理解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银行只是把储户的钱转借出去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银行贷款会同时创造存款，但受资本、流动性和风险约束</w:t>
            </w:r>
          </w:p>
        </w:tc>
      </w:tr>
      <w:tr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基础货币越多，M2一定按倍数增加</w:t>
            </w:r>
          </w:p>
        </w:tc>
        <w:tc>
          <w:tcPr>
            <w:tcW w:type="dxa" w:w="566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货币乘数不是机械常数，取决于银行放贷意愿、借款需求和监管约束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国债是安全资产，所以没有风险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国债信用风险低，但有利率风险和流动性价格风险</w:t>
            </w:r>
          </w:p>
        </w:tc>
      </w:tr>
      <w:tr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银行有资产就不会倒闭</w:t>
            </w:r>
          </w:p>
        </w:tc>
        <w:tc>
          <w:tcPr>
            <w:tcW w:type="dxa" w:w="566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银行可能因短期现金不足而倒闭，流动性与偿付能力不同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存款保险越大越好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扩大保障能稳预期，但也会提高道德风险，需要监管配套</w:t>
            </w:r>
          </w:p>
        </w:tc>
      </w:tr>
      <w:tr>
        <w:tc>
          <w:tcPr>
            <w:tcW w:type="dxa" w:w="34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央行救助等于免费送钱</w:t>
            </w:r>
          </w:p>
        </w:tc>
        <w:tc>
          <w:tcPr>
            <w:tcW w:type="dxa" w:w="5669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央行流动性工具通常有抵押、利率、期限和资格约束</w:t>
            </w:r>
          </w:p>
        </w:tc>
      </w:tr>
    </w:tbl>
    <w:p>
      <w:pPr>
        <w:spacing w:after="40"/>
      </w:pPr>
    </w:p>
    <w:p>
      <w:pPr>
        <w:pStyle w:val="Heading1"/>
      </w:pPr>
      <w:r>
        <w:t>16. 研究者检查清单：分析任何银行危机都问这12个问题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负债端：存款是否集中？未保险存款占比多高？批发融资依赖多大？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资产端：贷款和证券的久期、信用风险、行业集中度如何？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利率风险：如果收益率上升100/200/300个基点，证券和贷款价值如何变化？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流动性：现金、准备金、高流动性证券能覆盖几天提款？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资本：未实现亏损若全部确认，资本是否仍然充足？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会计分类：HTM与AFS如何影响亏损披露和市场预期？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客户行为：客户是否彼此认识、信息是否高度互联？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市场信号：股价、CDS、存款利率、债券收益率是否异常？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央行工具：贴现窗口、回购、紧急贷款是否可用？抵押品如何估值？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存款保险：保障范围是否足以切断抢跑激励？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处置机制：关闭、出售、担保、救助如何分摊损失？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0"/>
        </w:rPr>
        <w:t>道德风险：危机处理是否会鼓励未来更高风险承担？</w:t>
      </w:r>
    </w:p>
    <w:p>
      <w:pPr>
        <w:pStyle w:val="Heading1"/>
      </w:pPr>
      <w:r>
        <w:t>17. 参考资料</w:t>
      </w:r>
    </w:p>
    <w:p>
      <w:pPr>
        <w:spacing w:after="40"/>
      </w:pPr>
      <w:r>
        <w:rPr>
          <w:rFonts w:ascii="Noto Sans CJK SC" w:hAnsi="Noto Sans CJK SC" w:eastAsia="Noto Sans CJK SC"/>
          <w:sz w:val="18"/>
        </w:rPr>
        <w:t>Federal Reserve, Review of the Federal Reserve’s Supervision and Regulation of Silicon Valley Bank, 2023-04-28</w:t>
      </w:r>
      <w:r>
        <w:rPr>
          <w:rFonts w:ascii="Noto Sans CJK SC" w:hAnsi="Noto Sans CJK SC" w:eastAsia="Noto Sans CJK SC"/>
          <w:color w:val="555555"/>
          <w:sz w:val="16"/>
        </w:rPr>
        <w:br/>
        <w:t>https://www.federalreserve.gov/publications/review-of-the-federal-reserves-supervision-and-regulation-of-silicon-valley-bank.htm</w:t>
      </w:r>
    </w:p>
    <w:p>
      <w:pPr>
        <w:spacing w:after="40"/>
      </w:pPr>
      <w:r>
        <w:rPr>
          <w:rFonts w:ascii="Noto Sans CJK SC" w:hAnsi="Noto Sans CJK SC" w:eastAsia="Noto Sans CJK SC"/>
          <w:sz w:val="18"/>
        </w:rPr>
        <w:t>Federal Reserve, Executive Summary of SVB Review</w:t>
      </w:r>
      <w:r>
        <w:rPr>
          <w:rFonts w:ascii="Noto Sans CJK SC" w:hAnsi="Noto Sans CJK SC" w:eastAsia="Noto Sans CJK SC"/>
          <w:color w:val="555555"/>
          <w:sz w:val="16"/>
        </w:rPr>
        <w:br/>
        <w:t>https://www.federalreserve.gov/publications/2023-April-SVB-Executive-Summary.htm</w:t>
      </w:r>
    </w:p>
    <w:p>
      <w:pPr>
        <w:spacing w:after="40"/>
      </w:pPr>
      <w:r>
        <w:rPr>
          <w:rFonts w:ascii="Noto Sans CJK SC" w:hAnsi="Noto Sans CJK SC" w:eastAsia="Noto Sans CJK SC"/>
          <w:sz w:val="18"/>
        </w:rPr>
        <w:t>FDIC, Failed Bank Information: Silicon Valley Bank</w:t>
      </w:r>
      <w:r>
        <w:rPr>
          <w:rFonts w:ascii="Noto Sans CJK SC" w:hAnsi="Noto Sans CJK SC" w:eastAsia="Noto Sans CJK SC"/>
          <w:color w:val="555555"/>
          <w:sz w:val="16"/>
        </w:rPr>
        <w:br/>
        <w:t>https://www.fdic.gov/resources/resolutions/bank-failures/failed-bank-list/silicon-valley.html</w:t>
      </w:r>
    </w:p>
    <w:p>
      <w:pPr>
        <w:spacing w:after="40"/>
      </w:pPr>
      <w:r>
        <w:rPr>
          <w:rFonts w:ascii="Noto Sans CJK SC" w:hAnsi="Noto Sans CJK SC" w:eastAsia="Noto Sans CJK SC"/>
          <w:sz w:val="18"/>
        </w:rPr>
        <w:t>FDIC, Lessons Learned from the U.S. Regional Bank Failures of 2023</w:t>
      </w:r>
      <w:r>
        <w:rPr>
          <w:rFonts w:ascii="Noto Sans CJK SC" w:hAnsi="Noto Sans CJK SC" w:eastAsia="Noto Sans CJK SC"/>
          <w:color w:val="555555"/>
          <w:sz w:val="16"/>
        </w:rPr>
        <w:br/>
        <w:t>https://www.fdic.gov/news/speeches/2024/lessons-learned-us-regional-bank-failures-2023</w:t>
      </w:r>
    </w:p>
    <w:p>
      <w:pPr>
        <w:spacing w:after="40"/>
      </w:pPr>
      <w:r>
        <w:rPr>
          <w:rFonts w:ascii="Noto Sans CJK SC" w:hAnsi="Noto Sans CJK SC" w:eastAsia="Noto Sans CJK SC"/>
          <w:sz w:val="18"/>
        </w:rPr>
        <w:t>Federal Reserve, Bank Term Funding Program</w:t>
      </w:r>
      <w:r>
        <w:rPr>
          <w:rFonts w:ascii="Noto Sans CJK SC" w:hAnsi="Noto Sans CJK SC" w:eastAsia="Noto Sans CJK SC"/>
          <w:color w:val="555555"/>
          <w:sz w:val="16"/>
        </w:rPr>
        <w:br/>
        <w:t>https://www.federalreserve.gov/financial-stability/bank-term-funding-program.htm</w:t>
      </w:r>
    </w:p>
    <w:p>
      <w:pPr>
        <w:spacing w:after="40"/>
      </w:pPr>
      <w:r>
        <w:rPr>
          <w:rFonts w:ascii="Noto Sans CJK SC" w:hAnsi="Noto Sans CJK SC" w:eastAsia="Noto Sans CJK SC"/>
          <w:sz w:val="18"/>
        </w:rPr>
        <w:t>Federal Reserve, Open Market Operations</w:t>
      </w:r>
      <w:r>
        <w:rPr>
          <w:rFonts w:ascii="Noto Sans CJK SC" w:hAnsi="Noto Sans CJK SC" w:eastAsia="Noto Sans CJK SC"/>
          <w:color w:val="555555"/>
          <w:sz w:val="16"/>
        </w:rPr>
        <w:br/>
        <w:t>https://www.federalreserve.gov/monetarypolicy/openmarket.htm</w:t>
      </w:r>
    </w:p>
    <w:p>
      <w:pPr>
        <w:spacing w:after="40"/>
      </w:pPr>
      <w:r>
        <w:rPr>
          <w:rFonts w:ascii="Noto Sans CJK SC" w:hAnsi="Noto Sans CJK SC" w:eastAsia="Noto Sans CJK SC"/>
          <w:sz w:val="18"/>
        </w:rPr>
        <w:t>New York Fed, Effective Federal Funds Rate</w:t>
      </w:r>
      <w:r>
        <w:rPr>
          <w:rFonts w:ascii="Noto Sans CJK SC" w:hAnsi="Noto Sans CJK SC" w:eastAsia="Noto Sans CJK SC"/>
          <w:color w:val="555555"/>
          <w:sz w:val="16"/>
        </w:rPr>
        <w:br/>
        <w:t>https://www.newyorkfed.org/markets/reference-rates/effr</w:t>
      </w:r>
    </w:p>
    <w:p>
      <w:pPr>
        <w:spacing w:after="40"/>
      </w:pPr>
      <w:r>
        <w:rPr>
          <w:rFonts w:ascii="Noto Sans CJK SC" w:hAnsi="Noto Sans CJK SC" w:eastAsia="Noto Sans CJK SC"/>
          <w:sz w:val="18"/>
        </w:rPr>
        <w:t>St. Louis Fed, How the Fed Implements Monetary Policy with Its Tools</w:t>
      </w:r>
      <w:r>
        <w:rPr>
          <w:rFonts w:ascii="Noto Sans CJK SC" w:hAnsi="Noto Sans CJK SC" w:eastAsia="Noto Sans CJK SC"/>
          <w:color w:val="555555"/>
          <w:sz w:val="16"/>
        </w:rPr>
        <w:br/>
        <w:t>https://www.stlouisfed.org/in-plain-english/the-fed-implements-monetary-policy</w:t>
      </w:r>
    </w:p>
    <w:p>
      <w:pPr>
        <w:pStyle w:val="Heading1"/>
      </w:pPr>
      <w:r>
        <w:t>18. 术语速查表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术语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英文</w:t>
            </w:r>
          </w:p>
        </w:tc>
        <w:tc>
          <w:tcPr>
            <w:tcW w:type="dxa" w:w="510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基础货币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Monetary Base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现金加银行准备金，是央行负债和最终结算货币</w:t>
            </w:r>
          </w:p>
        </w:tc>
      </w:tr>
      <w:tr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准备金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Reserves</w:t>
            </w:r>
          </w:p>
        </w:tc>
        <w:tc>
          <w:tcPr>
            <w:tcW w:type="dxa" w:w="51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商业银行存在央行账户中的资金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广义货币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现金、活期存款、储蓄和定期存款等广义货币资产</w:t>
            </w:r>
          </w:p>
        </w:tc>
      </w:tr>
      <w:tr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公开市场操作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OMO</w:t>
            </w:r>
          </w:p>
        </w:tc>
        <w:tc>
          <w:tcPr>
            <w:tcW w:type="dxa" w:w="51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央行买卖证券或回购影响准备金和短端利率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联邦基金利率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Federal Funds Rate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美国银行间隔夜借贷准备金的利率</w:t>
            </w:r>
          </w:p>
        </w:tc>
      </w:tr>
      <w:tr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久期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Duration</w:t>
            </w:r>
          </w:p>
        </w:tc>
        <w:tc>
          <w:tcPr>
            <w:tcW w:type="dxa" w:w="51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衡量债券价格对利率变化敏感度的指标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收益率曲线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Yield Curve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不同期限利率构成的曲线</w:t>
            </w:r>
          </w:p>
        </w:tc>
      </w:tr>
      <w:tr>
        <w:tc>
          <w:tcPr>
            <w:tcW w:type="dxa" w:w="1701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最后贷款人</w:t>
            </w:r>
          </w:p>
        </w:tc>
        <w:tc>
          <w:tcPr>
            <w:tcW w:type="dxa" w:w="22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Lender of Last Resort</w:t>
            </w:r>
          </w:p>
        </w:tc>
        <w:tc>
          <w:tcPr>
            <w:tcW w:type="dxa" w:w="510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央行在压力时期向合格金融机构提供流动性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道德风险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Moral Hazard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被保护后更愿意承担风险的激励问题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77777"/>
        <w:sz w:val="16"/>
      </w:rPr>
      <w:t>仅供学习研究使用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77777"/>
        <w:sz w:val="16"/>
      </w:rPr>
      <w:t>货币金融学核心案例：SVB与现代货币体系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