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Noto Sans CJK SC" w:hAnsi="Noto Sans CJK SC" w:eastAsia="Noto Sans CJK SC"/>
          <w:b/>
          <w:color w:val="1F4E79"/>
          <w:sz w:val="54"/>
        </w:rPr>
        <w:t>粟裕与豫东战役</w:t>
      </w:r>
    </w:p>
    <w:p>
      <w:pPr>
        <w:jc w:val="center"/>
      </w:pPr>
      <w:r>
        <w:rPr>
          <w:rFonts w:ascii="Noto Sans CJK SC" w:hAnsi="Noto Sans CJK SC" w:eastAsia="Noto Sans CJK SC"/>
          <w:b/>
          <w:color w:val="4B4B4B"/>
          <w:sz w:val="32"/>
        </w:rPr>
        <w:t>各阶段多信源调查、证据分层与决策演化分析</w:t>
      </w:r>
    </w:p>
    <w:p>
      <w:pPr>
        <w:spacing w:before="440"/>
        <w:jc w:val="center"/>
      </w:pPr>
      <w:r>
        <w:rPr>
          <w:rFonts w:ascii="Noto Serif CJK SC" w:hAnsi="Noto Serif CJK SC" w:eastAsia="Noto Serif CJK SC"/>
          <w:b w:val="0"/>
          <w:sz w:val="22"/>
        </w:rPr>
        <w:t>研究范围：1948年1月战略争论—7月战后评估</w:t>
        <w:br/>
        <w:t>重点战役时段：1948年6月17日—7月6日</w:t>
      </w:r>
    </w:p>
    <w:p>
      <w:pPr>
        <w:spacing w:before="1800"/>
        <w:jc w:val="center"/>
      </w:pPr>
      <w:r>
        <w:rPr>
          <w:rFonts w:ascii="Noto Serif CJK SC" w:hAnsi="Noto Serif CJK SC" w:eastAsia="Noto Serif CJK SC"/>
          <w:b w:val="0"/>
          <w:color w:val="555555"/>
          <w:sz w:val="20"/>
        </w:rPr>
        <w:t>方法：官方战史 × 国史馆档案 × 将领回忆/年谱 × 学术研究 × 对方叙事交叉验证</w:t>
      </w:r>
    </w:p>
    <w:p>
      <w:pPr>
        <w:jc w:val="center"/>
      </w:pPr>
      <w:r>
        <w:rPr>
          <w:rFonts w:ascii="Noto Serif CJK SC" w:hAnsi="Noto Serif CJK SC" w:eastAsia="Noto Serif CJK SC"/>
          <w:b w:val="0"/>
          <w:color w:val="646464"/>
          <w:sz w:val="19"/>
        </w:rPr>
        <w:t>生成日期：2026年8月14日</w:t>
      </w:r>
    </w:p>
    <w:p>
      <w:r>
        <w:br w:type="page"/>
      </w:r>
    </w:p>
    <w:p>
      <w:pPr>
        <w:pStyle w:val="Heading1"/>
        <w:keepNext/>
      </w:pPr>
      <w:r>
        <w:rPr>
          <w:rFonts w:ascii="Noto Sans CJK SC" w:hAnsi="Noto Sans CJK SC" w:eastAsia="Noto Sans CJK SC"/>
          <w:b/>
          <w:color w:val="1F4E79"/>
          <w:sz w:val="30"/>
        </w:rPr>
        <w:t>研究说明与证据规则</w:t>
      </w:r>
    </w:p>
    <w:p>
      <w:pPr>
        <w:spacing w:after="80" w:line="324" w:lineRule="auto"/>
      </w:pPr>
      <w:r>
        <w:rPr>
          <w:rFonts w:ascii="Noto Serif CJK SC" w:hAnsi="Noto Serif CJK SC" w:eastAsia="Noto Serif CJK SC"/>
          <w:b w:val="0"/>
          <w:sz w:val="21"/>
        </w:rPr>
        <w:t>本报告把“豫东战役”视为一个不断改变目标与信息条件的连续决策过程，而不是只用“开封—睢杞—黄百韬”三个标签机械叙述。常见官方划分仍作为基准，但为了回答“粟裕为何每一步都改计划、国民党军为何不断投入援军、为何最后又撤出战斗”，报告进一步拆成六个博弈阶段。</w:t>
      </w:r>
    </w:p>
    <w:p>
      <w:pPr>
        <w:spacing w:after="80" w:line="324" w:lineRule="auto"/>
      </w:pPr>
      <w:r>
        <w:rPr>
          <w:rFonts w:ascii="Noto Serif CJK SC" w:hAnsi="Noto Serif CJK SC" w:eastAsia="Noto Serif CJK SC"/>
          <w:b w:val="0"/>
          <w:sz w:val="21"/>
        </w:rPr>
        <w:t>事实分层：A＝原始档案、官方电报/日记或权威机构出版物直接确认；B＝两个以上独立可靠来源相互印证；C＝单一可靠二手研究；D＝基于事实的分析推断；E＝网络流传而缺少可靠出处。对伤亡、参战兵力和“谁赢了”这类争议，不把任何一方战时宣传直接当作最终结论。</w:t>
      </w:r>
    </w:p>
    <w:p>
      <w:pPr>
        <w:spacing w:after="80" w:line="324" w:lineRule="auto"/>
      </w:pPr>
      <w:r>
        <w:rPr>
          <w:rFonts w:ascii="Noto Serif CJK SC" w:hAnsi="Noto Serif CJK SC" w:eastAsia="Noto Serif CJK SC"/>
          <w:b w:val="0"/>
          <w:sz w:val="21"/>
        </w:rPr>
        <w:t>安全说明：本文是历史研究，重点讨论宏观决策、信息、组织协调与后果，不提供现实暴力行为的操作性指导。</w:t>
      </w:r>
    </w:p>
    <w:p>
      <w:pPr>
        <w:pStyle w:val="Heading1"/>
        <w:keepNext/>
      </w:pPr>
      <w:r>
        <w:rPr>
          <w:rFonts w:ascii="Noto Sans CJK SC" w:hAnsi="Noto Sans CJK SC" w:eastAsia="Noto Sans CJK SC"/>
          <w:b/>
          <w:color w:val="1F4E79"/>
          <w:sz w:val="30"/>
        </w:rPr>
        <w:t>目录</w:t>
      </w:r>
    </w:p>
    <w:p>
      <w:pPr>
        <w:pStyle w:val="ListBullet"/>
        <w:spacing w:after="40" w:line="300" w:lineRule="auto"/>
      </w:pPr>
      <w:r>
        <w:rPr>
          <w:rFonts w:ascii="Noto Serif CJK SC" w:hAnsi="Noto Serif CJK SC" w:eastAsia="Noto Serif CJK SC"/>
          <w:b w:val="0"/>
          <w:sz w:val="20"/>
        </w:rPr>
        <w:t>1. 执行摘要</w:t>
      </w:r>
    </w:p>
    <w:p>
      <w:pPr>
        <w:pStyle w:val="ListBullet"/>
        <w:spacing w:after="40" w:line="300" w:lineRule="auto"/>
      </w:pPr>
      <w:r>
        <w:rPr>
          <w:rFonts w:ascii="Noto Serif CJK SC" w:hAnsi="Noto Serif CJK SC" w:eastAsia="Noto Serif CJK SC"/>
          <w:b w:val="0"/>
          <w:sz w:val="20"/>
        </w:rPr>
        <w:t>2. 证据谱系与核心争议</w:t>
      </w:r>
    </w:p>
    <w:p>
      <w:pPr>
        <w:pStyle w:val="ListBullet"/>
        <w:spacing w:after="40" w:line="300" w:lineRule="auto"/>
      </w:pPr>
      <w:r>
        <w:rPr>
          <w:rFonts w:ascii="Noto Serif CJK SC" w:hAnsi="Noto Serif CJK SC" w:eastAsia="Noto Serif CJK SC"/>
          <w:b w:val="0"/>
          <w:sz w:val="20"/>
        </w:rPr>
        <w:t>3. 战略前奏：为什么豫东战役会发生</w:t>
      </w:r>
    </w:p>
    <w:p>
      <w:pPr>
        <w:pStyle w:val="ListBullet"/>
        <w:spacing w:after="40" w:line="300" w:lineRule="auto"/>
      </w:pPr>
      <w:r>
        <w:rPr>
          <w:rFonts w:ascii="Noto Serif CJK SC" w:hAnsi="Noto Serif CJK SC" w:eastAsia="Noto Serif CJK SC"/>
          <w:b w:val="0"/>
          <w:sz w:val="20"/>
        </w:rPr>
        <w:t>4. 六阶段时间线与逐阶段分析</w:t>
      </w:r>
    </w:p>
    <w:p>
      <w:pPr>
        <w:pStyle w:val="ListBullet"/>
        <w:spacing w:after="40" w:line="300" w:lineRule="auto"/>
      </w:pPr>
      <w:r>
        <w:rPr>
          <w:rFonts w:ascii="Noto Serif CJK SC" w:hAnsi="Noto Serif CJK SC" w:eastAsia="Noto Serif CJK SC"/>
          <w:b w:val="0"/>
          <w:sz w:val="20"/>
        </w:rPr>
        <w:t>5. 利益相关者与动态信息集</w:t>
      </w:r>
    </w:p>
    <w:p>
      <w:pPr>
        <w:pStyle w:val="ListBullet"/>
        <w:spacing w:after="40" w:line="300" w:lineRule="auto"/>
      </w:pPr>
      <w:r>
        <w:rPr>
          <w:rFonts w:ascii="Noto Serif CJK SC" w:hAnsi="Noto Serif CJK SC" w:eastAsia="Noto Serif CJK SC"/>
          <w:b w:val="0"/>
          <w:sz w:val="20"/>
        </w:rPr>
        <w:t>6. 关键决策节点与替代方案</w:t>
      </w:r>
    </w:p>
    <w:p>
      <w:pPr>
        <w:pStyle w:val="ListBullet"/>
        <w:spacing w:after="40" w:line="300" w:lineRule="auto"/>
      </w:pPr>
      <w:r>
        <w:rPr>
          <w:rFonts w:ascii="Noto Serif CJK SC" w:hAnsi="Noto Serif CJK SC" w:eastAsia="Noto Serif CJK SC"/>
          <w:b w:val="0"/>
          <w:sz w:val="20"/>
        </w:rPr>
        <w:t>7. 国共双方指挥体系的结构性差异</w:t>
      </w:r>
    </w:p>
    <w:p>
      <w:pPr>
        <w:pStyle w:val="ListBullet"/>
        <w:spacing w:after="40" w:line="300" w:lineRule="auto"/>
      </w:pPr>
      <w:r>
        <w:rPr>
          <w:rFonts w:ascii="Noto Serif CJK SC" w:hAnsi="Noto Serif CJK SC" w:eastAsia="Noto Serif CJK SC"/>
          <w:b w:val="0"/>
          <w:sz w:val="20"/>
        </w:rPr>
        <w:t>8. 战果、损失与“胜负”争议</w:t>
      </w:r>
    </w:p>
    <w:p>
      <w:pPr>
        <w:pStyle w:val="ListBullet"/>
        <w:spacing w:after="40" w:line="300" w:lineRule="auto"/>
      </w:pPr>
      <w:r>
        <w:rPr>
          <w:rFonts w:ascii="Noto Serif CJK SC" w:hAnsi="Noto Serif CJK SC" w:eastAsia="Noto Serif CJK SC"/>
          <w:b w:val="0"/>
          <w:sz w:val="20"/>
        </w:rPr>
        <w:t>9. 宣传叙事与战后评价</w:t>
      </w:r>
    </w:p>
    <w:p>
      <w:pPr>
        <w:pStyle w:val="ListBullet"/>
        <w:spacing w:after="40" w:line="300" w:lineRule="auto"/>
      </w:pPr>
      <w:r>
        <w:rPr>
          <w:rFonts w:ascii="Noto Serif CJK SC" w:hAnsi="Noto Serif CJK SC" w:eastAsia="Noto Serif CJK SC"/>
          <w:b w:val="0"/>
          <w:sz w:val="20"/>
        </w:rPr>
        <w:t>10. 三个结构相似案例</w:t>
      </w:r>
    </w:p>
    <w:p>
      <w:pPr>
        <w:pStyle w:val="ListBullet"/>
        <w:spacing w:after="40" w:line="300" w:lineRule="auto"/>
      </w:pPr>
      <w:r>
        <w:rPr>
          <w:rFonts w:ascii="Noto Serif CJK SC" w:hAnsi="Noto Serif CJK SC" w:eastAsia="Noto Serif CJK SC"/>
          <w:b w:val="0"/>
          <w:sz w:val="20"/>
        </w:rPr>
        <w:t>11. 系统性根因与可迁移方法</w:t>
      </w:r>
    </w:p>
    <w:p>
      <w:pPr>
        <w:pStyle w:val="ListBullet"/>
        <w:spacing w:after="40" w:line="300" w:lineRule="auto"/>
      </w:pPr>
      <w:r>
        <w:rPr>
          <w:rFonts w:ascii="Noto Serif CJK SC" w:hAnsi="Noto Serif CJK SC" w:eastAsia="Noto Serif CJK SC"/>
          <w:b w:val="0"/>
          <w:sz w:val="20"/>
        </w:rPr>
        <w:t>12. 十三个核心问题回答</w:t>
      </w:r>
    </w:p>
    <w:p>
      <w:pPr>
        <w:pStyle w:val="ListBullet"/>
        <w:spacing w:after="40" w:line="300" w:lineRule="auto"/>
      </w:pPr>
      <w:r>
        <w:rPr>
          <w:rFonts w:ascii="Noto Serif CJK SC" w:hAnsi="Noto Serif CJK SC" w:eastAsia="Noto Serif CJK SC"/>
          <w:b w:val="0"/>
          <w:sz w:val="20"/>
        </w:rPr>
        <w:t>参考资料</w:t>
      </w:r>
    </w:p>
    <w:p>
      <w:r>
        <w:br w:type="page"/>
      </w:r>
    </w:p>
    <w:p>
      <w:pPr>
        <w:pStyle w:val="Heading1"/>
        <w:keepNext/>
      </w:pPr>
      <w:r>
        <w:rPr>
          <w:rFonts w:ascii="Noto Sans CJK SC" w:hAnsi="Noto Sans CJK SC" w:eastAsia="Noto Sans CJK SC"/>
          <w:b/>
          <w:color w:val="1F4E79"/>
          <w:sz w:val="30"/>
        </w:rPr>
        <w:t>1. 执行摘要</w:t>
      </w:r>
    </w:p>
    <w:p>
      <w:pPr>
        <w:spacing w:after="80" w:line="324" w:lineRule="auto"/>
        <w:ind w:firstLine="420"/>
      </w:pPr>
      <w:r>
        <w:rPr>
          <w:rFonts w:ascii="Noto Serif CJK SC" w:hAnsi="Noto Serif CJK SC" w:eastAsia="Noto Serif CJK SC"/>
          <w:b w:val="0"/>
          <w:sz w:val="21"/>
        </w:rPr>
        <w:t>豫东战役的关键，不只是“粟裕攻下开封”或“歼灭区寿年兵团”，而是1948年上半年中共中央关于“渡江分兵”与“集中主力在黄淮打大歼灭战”的战略选择，在实战中接受的一次高风险检验。1948年1月22日，粟裕建议刘邓、陈谢、陈粟三路力量在中原“忽集忽分”，争取集中歼灭国民党军较大集团；4月30日至5月7日城南庄会议后，中共中央决定三个主力纵队暂不立即渡江，而在中原作战数月。中央5月的指示把目标具体化为在汴徐线南北地区打击第五军等主力。由此，豫东战役既是一次战役，也是一次战略方案验证。[2][11]</w:t>
      </w:r>
    </w:p>
    <w:p>
      <w:pPr>
        <w:spacing w:after="80" w:line="324" w:lineRule="auto"/>
        <w:ind w:firstLine="420"/>
      </w:pPr>
      <w:r>
        <w:rPr>
          <w:rFonts w:ascii="Noto Serif CJK SC" w:hAnsi="Noto Serif CJK SC" w:eastAsia="Noto Serif CJK SC"/>
          <w:b w:val="0"/>
          <w:sz w:val="21"/>
        </w:rPr>
        <w:t>战役真正的第一转折点不是6月17日开战，而是6月14日前后“先打开封，后歼援敌”的方案形成。此前华野数次计划以国民党整编第五军为主要目标，但对手集中、行动谨慎，难以形成理想机会。开封因政治象征、交通和补给价值突出，一旦受到威胁，南京与徐州方面几乎必然投入机动兵力救援。换言之，攻城不仅是为了城市本身，更是在改变对手的行动约束。[3]</w:t>
      </w:r>
    </w:p>
    <w:p>
      <w:pPr>
        <w:spacing w:after="80" w:line="324" w:lineRule="auto"/>
        <w:ind w:firstLine="420"/>
      </w:pPr>
      <w:r>
        <w:rPr>
          <w:rFonts w:ascii="Noto Serif CJK SC" w:hAnsi="Noto Serif CJK SC" w:eastAsia="Noto Serif CJK SC"/>
          <w:b w:val="0"/>
          <w:sz w:val="21"/>
        </w:rPr>
        <w:t>第二个转折点是开封攻克后主动撤离。华野没有把“守住省会”作为新的固定目标，而是在6月26日前后退出开封，转而选择已经与邱清泉集团拉开距离的区寿年兵团作为主要目标。这一步把战役从城市争夺重新变回野战歼敌。6月27日至7月2日，区寿年兵团部和整编第75师等被击溃，区寿年、沈澄年被俘；这构成豫东战役最明确、争议最小的战役成果。[1][3][5]</w:t>
      </w:r>
    </w:p>
    <w:p>
      <w:pPr>
        <w:spacing w:after="80" w:line="324" w:lineRule="auto"/>
        <w:ind w:firstLine="420"/>
      </w:pPr>
      <w:r>
        <w:rPr>
          <w:rFonts w:ascii="Noto Serif CJK SC" w:hAnsi="Noto Serif CJK SC" w:eastAsia="Noto Serif CJK SC"/>
          <w:b w:val="0"/>
          <w:sz w:val="21"/>
        </w:rPr>
        <w:t>第三个转折点是黄百韬集团迅速抵达，使华野从“完成围歼”转入“防止战果被逆转、尽量再打击一部后退出”。官方战史把7月3日至6日列为第三阶段；国民党方面则把黄百韬突入战场、保住部分部队并迫使华野撤出，包装为“中原大捷”，黄百韬后来获青天白日勋章。两种叙事都抓住了真实的一部分：华野没有实现全歼黄百韬的更高目标，且自身伤亡和疲劳显著；但国民党方面同时失去一个兵团部及若干整编部队，其机动防御体系受到严重破坏。因此更稳妥的判断是：豫东战役属于解放军在战略和战役层面的重大成功，但不是“每一阶段均压倒性获胜”的完胜。[1][7][8][10]</w:t>
      </w:r>
    </w:p>
    <w:p>
      <w:pPr>
        <w:spacing w:after="80" w:line="324" w:lineRule="auto"/>
        <w:ind w:firstLine="420"/>
      </w:pPr>
      <w:r>
        <w:rPr>
          <w:rFonts w:ascii="Noto Serif CJK SC" w:hAnsi="Noto Serif CJK SC" w:eastAsia="Noto Serif CJK SC"/>
          <w:b w:val="0"/>
          <w:sz w:val="21"/>
        </w:rPr>
        <w:t>从系统角度看，粟裕的主要优势在于目标可变：攻第五军不成，可以转向开封；开封得手后不必守城；发现区、邱分离，立即更换主攻对象；黄百韬进入后再改变重点；外部援军逼近时又及时结束。国民党方面则受“必须夺回省会”“必须救援被围部队”“各兵团要保存实力且同时服从南京催促”等多重目标牵制。其局部行动并非都不合理，但多支兵团在时间、方向和指挥权上的不同步，使局部理性叠加成整体被动。国史馆保存的6月18日、6月底至7月间电报目录，显示南京、徐州、兵团之间一直有密集指令与战况上报，但“有通信”并不等于“形成统一、及时、准确的共同态势图”。[4][5][6]</w:t>
      </w:r>
    </w:p>
    <w:p>
      <w:pPr>
        <w:pStyle w:val="Heading1"/>
        <w:keepNext/>
      </w:pPr>
      <w:r>
        <w:rPr>
          <w:rFonts w:ascii="Noto Sans CJK SC" w:hAnsi="Noto Sans CJK SC" w:eastAsia="Noto Sans CJK SC"/>
          <w:b/>
          <w:color w:val="1F4E79"/>
          <w:sz w:val="30"/>
        </w:rPr>
        <w:t>2. 多信源事实核验、证据谱系与核心争议</w:t>
      </w:r>
    </w:p>
    <w:p>
      <w:pPr>
        <w:spacing w:after="80" w:line="324" w:lineRule="auto"/>
      </w:pPr>
      <w:r>
        <w:rPr>
          <w:rFonts w:ascii="Noto Serif CJK SC" w:hAnsi="Noto Serif CJK SC" w:eastAsia="Noto Serif CJK SC"/>
          <w:b w:val="0"/>
          <w:sz w:val="21"/>
        </w:rPr>
        <w:t>核心材料分为四层：第一层是一手/近一手资料，包括中央军委相关电报的权威整理、国史馆“蒋中正总统文物”中的战时电报和《蒋中正日记》；第二层是双方官方战史与机构出版物；第三层是学术或专业战史研究；第四层才是网络文章。网络文章仅用于发现争议，不单独确认核心事实。</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rPr>
          <w:tblHeader w:val="true"/>
          <w:cantSplit/>
        </w:trPr>
        <w:tc>
          <w:tcPr>
            <w:tcW w:type="dxa" w:w="1134"/>
            <w:shd w:fill="D9EAF7"/>
            <w:tcMar>
              <w:top w:w="70" w:type="dxa"/>
              <w:start w:w="70" w:type="dxa"/>
              <w:bottom w:w="70" w:type="dxa"/>
              <w:end w:w="70" w:type="dxa"/>
            </w:tcMar>
            <w:vAlign w:val="center"/>
          </w:tcPr>
          <w:p>
            <w:pPr>
              <w:jc w:val="center"/>
            </w:pPr>
            <w:r>
              <w:rPr>
                <w:rFonts w:ascii="Noto Sans CJK SC" w:hAnsi="Noto Sans CJK SC" w:eastAsia="Noto Sans CJK SC"/>
                <w:b/>
                <w:sz w:val="15"/>
              </w:rPr>
              <w:t>争议</w:t>
            </w:r>
          </w:p>
        </w:tc>
        <w:tc>
          <w:tcPr>
            <w:tcW w:type="dxa" w:w="1814"/>
            <w:shd w:fill="D9EAF7"/>
            <w:tcMar>
              <w:top w:w="70" w:type="dxa"/>
              <w:start w:w="70" w:type="dxa"/>
              <w:bottom w:w="70" w:type="dxa"/>
              <w:end w:w="70" w:type="dxa"/>
            </w:tcMar>
            <w:vAlign w:val="center"/>
          </w:tcPr>
          <w:p>
            <w:pPr>
              <w:jc w:val="center"/>
            </w:pPr>
            <w:r>
              <w:rPr>
                <w:rFonts w:ascii="Noto Sans CJK SC" w:hAnsi="Noto Sans CJK SC" w:eastAsia="Noto Sans CJK SC"/>
                <w:b/>
                <w:sz w:val="15"/>
              </w:rPr>
              <w:t>支持证据</w:t>
            </w:r>
          </w:p>
        </w:tc>
        <w:tc>
          <w:tcPr>
            <w:tcW w:type="dxa" w:w="2041"/>
            <w:shd w:fill="D9EAF7"/>
            <w:tcMar>
              <w:top w:w="70" w:type="dxa"/>
              <w:start w:w="70" w:type="dxa"/>
              <w:bottom w:w="70" w:type="dxa"/>
              <w:end w:w="70" w:type="dxa"/>
            </w:tcMar>
            <w:vAlign w:val="center"/>
          </w:tcPr>
          <w:p>
            <w:pPr>
              <w:jc w:val="center"/>
            </w:pPr>
            <w:r>
              <w:rPr>
                <w:rFonts w:ascii="Noto Sans CJK SC" w:hAnsi="Noto Sans CJK SC" w:eastAsia="Noto Sans CJK SC"/>
                <w:b/>
                <w:sz w:val="15"/>
              </w:rPr>
              <w:t>限制/反证</w:t>
            </w:r>
          </w:p>
        </w:tc>
        <w:tc>
          <w:tcPr>
            <w:tcW w:type="dxa" w:w="794"/>
            <w:shd w:fill="D9EAF7"/>
            <w:tcMar>
              <w:top w:w="70" w:type="dxa"/>
              <w:start w:w="70" w:type="dxa"/>
              <w:bottom w:w="70" w:type="dxa"/>
              <w:end w:w="70" w:type="dxa"/>
            </w:tcMar>
            <w:vAlign w:val="center"/>
          </w:tcPr>
          <w:p>
            <w:pPr>
              <w:jc w:val="center"/>
            </w:pPr>
            <w:r>
              <w:rPr>
                <w:rFonts w:ascii="Noto Sans CJK SC" w:hAnsi="Noto Sans CJK SC" w:eastAsia="Noto Sans CJK SC"/>
                <w:b/>
                <w:sz w:val="15"/>
              </w:rPr>
              <w:t>来源</w:t>
            </w:r>
          </w:p>
        </w:tc>
        <w:tc>
          <w:tcPr>
            <w:tcW w:type="dxa" w:w="850"/>
            <w:shd w:fill="D9EAF7"/>
            <w:tcMar>
              <w:top w:w="70" w:type="dxa"/>
              <w:start w:w="70" w:type="dxa"/>
              <w:bottom w:w="70" w:type="dxa"/>
              <w:end w:w="70" w:type="dxa"/>
            </w:tcMar>
            <w:vAlign w:val="center"/>
          </w:tcPr>
          <w:p>
            <w:pPr>
              <w:jc w:val="center"/>
            </w:pPr>
            <w:r>
              <w:rPr>
                <w:rFonts w:ascii="Noto Sans CJK SC" w:hAnsi="Noto Sans CJK SC" w:eastAsia="Noto Sans CJK SC"/>
                <w:b/>
                <w:sz w:val="15"/>
              </w:rPr>
              <w:t>独立性</w:t>
            </w:r>
          </w:p>
        </w:tc>
        <w:tc>
          <w:tcPr>
            <w:tcW w:type="dxa" w:w="680"/>
            <w:shd w:fill="D9EAF7"/>
            <w:tcMar>
              <w:top w:w="70" w:type="dxa"/>
              <w:start w:w="70" w:type="dxa"/>
              <w:bottom w:w="70" w:type="dxa"/>
              <w:end w:w="70" w:type="dxa"/>
            </w:tcMar>
            <w:vAlign w:val="center"/>
          </w:tcPr>
          <w:p>
            <w:pPr>
              <w:jc w:val="center"/>
            </w:pPr>
            <w:r>
              <w:rPr>
                <w:rFonts w:ascii="Noto Sans CJK SC" w:hAnsi="Noto Sans CJK SC" w:eastAsia="Noto Sans CJK SC"/>
                <w:b/>
                <w:sz w:val="15"/>
              </w:rPr>
              <w:t>等级</w:t>
            </w:r>
          </w:p>
        </w:tc>
        <w:tc>
          <w:tcPr>
            <w:tcW w:type="dxa" w:w="1757"/>
            <w:shd w:fill="D9EAF7"/>
            <w:tcMar>
              <w:top w:w="70" w:type="dxa"/>
              <w:start w:w="70" w:type="dxa"/>
              <w:bottom w:w="70" w:type="dxa"/>
              <w:end w:w="70" w:type="dxa"/>
            </w:tcMar>
            <w:vAlign w:val="center"/>
          </w:tcPr>
          <w:p>
            <w:pPr>
              <w:jc w:val="center"/>
            </w:pPr>
            <w:r>
              <w:rPr>
                <w:rFonts w:ascii="Noto Sans CJK SC" w:hAnsi="Noto Sans CJK SC" w:eastAsia="Noto Sans CJK SC"/>
                <w:b/>
                <w:sz w:val="15"/>
              </w:rPr>
              <w:t>判断</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战役时间</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1948年6月17日—7月6日</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党史资料、军报来源一致；旧资料对开封“正式战役”有6月17/18日边界差</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[1][3]</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独立来源较高</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A/B</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以6月17为总战役起点，注明开封战斗有日期口径差</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战略前奏</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1月粟裕建议集中中原；4月底—5月初中央接受暂缓渡江</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中央党史研究文章引用《粟裕年谱》《毛泽东年谱》《军事文集》</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[2][11]</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较高</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A/B</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确认</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开封攻克</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6月22日前后开封失守于华野</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中共战史、国史馆6月18日蒋电均显示援救压力真实存在</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[1][3][4]</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高</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A/B</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确认</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区寿年兵团受重创</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兵团部及整75师等被歼，区寿年、沈澄年被俘</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中共战史与国史馆区部战况电报可相互印证</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[1][5]</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高</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A/B</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确认</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黄百韬阶段</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黄部进入战场，华野未能全歼，7月6日撤出</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双方官方叙事方向不同但都承认黄部未被歼灭且华野撤离</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[1][8]</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中高</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B</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确认基本事实，战果规模有争议</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国军“中原大捷”</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国民党战后宣传把后期解围、收复开封定义为胜利</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国防部黄百韬资料与勋奖叙事支持该说法存在</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[8]</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单方官方</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A（叙事存在）</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只能证明“国方如此评价”，不能证明总体战果</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国军损失9万余/9.4万</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中共官方战史常用数字</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不同资料有9万、9.4万、8.5万余等口径</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[1][3]</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同体系来源较多</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B/C</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可写“中共战史统计约9万余”，不当作无争议精确值</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解放军伤亡约3.3万</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后来的综合战史与多种二手资料常见</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本次检索未找到同等级一手统计表直接核定</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[10]及后续综合研究</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C</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作为常见估计值，明确证据等级低于战役阶段事实</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直接参战约20万对25万</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后世综合战史常见</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不同统计是否含外围阻援、地方部队不一致</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综合战史</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C</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只作量级判断，不作精确算术基础</w:t>
            </w:r>
          </w:p>
        </w:tc>
      </w:tr>
      <w:tr>
        <w:trPr>
          <w:cantSplit/>
        </w:trPr>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豫东战役促成后续战略决战</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官方和专业研究都认为改变中原态势，并通向济南/淮海条件形成</w:t>
            </w:r>
          </w:p>
        </w:tc>
        <w:tc>
          <w:tcPr>
            <w:tcW w:type="dxa" w:w="204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不能简化为“单一战役直接决定淮海”</w:t>
            </w:r>
          </w:p>
        </w:tc>
        <w:tc>
          <w:tcPr>
            <w:tcW w:type="dxa" w:w="79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[1][10]</w:t>
            </w:r>
          </w:p>
        </w:tc>
        <w:tc>
          <w:tcPr>
            <w:tcW w:type="dxa" w:w="85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中高</w:t>
            </w:r>
          </w:p>
        </w:tc>
        <w:tc>
          <w:tcPr>
            <w:tcW w:type="dxa" w:w="68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B</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表述为“重要条件/信心与能力验证”，避免单因果</w:t>
            </w:r>
          </w:p>
        </w:tc>
      </w:tr>
    </w:tbl>
    <w:p>
      <w:pPr>
        <w:spacing w:after="40"/>
      </w:pPr>
    </w:p>
    <w:p>
      <w:pPr>
        <w:pStyle w:val="Heading2"/>
        <w:keepNext/>
      </w:pPr>
      <w:r>
        <w:rPr>
          <w:rFonts w:ascii="Noto Sans CJK SC" w:hAnsi="Noto Sans CJK SC" w:eastAsia="Noto Sans CJK SC"/>
          <w:b/>
          <w:color w:val="373737"/>
          <w:sz w:val="25"/>
        </w:rPr>
        <w:t>证据谱系示例：为什么“很多报道”不等于“很多独立证据”</w:t>
      </w:r>
    </w:p>
    <w:p>
      <w:pPr>
        <w:spacing w:after="80" w:line="324" w:lineRule="auto"/>
        <w:ind w:firstLine="420"/>
      </w:pPr>
      <w:r>
        <w:rPr>
          <w:rFonts w:ascii="Noto Serif CJK SC" w:hAnsi="Noto Serif CJK SC" w:eastAsia="Noto Serif CJK SC"/>
          <w:b w:val="0"/>
          <w:sz w:val="21"/>
        </w:rPr>
        <w:t>以“豫东战役歼敌9万余”为例，人民网党史、中国军网、地方党史日历等多个页面往往共同继承解放军战史统计；它们是多个发布渠道，但不是完全独立的原始统计。与之相对，国史馆保存的是国民党最高层与前线战时电报目录，属于另一条证据链。研究时需要把“同一战史体系的重复传播”与“对方档案的独立印证”分开。[1][3][4][5]</w:t>
      </w:r>
    </w:p>
    <w:p>
      <w:pPr>
        <w:pStyle w:val="Heading1"/>
        <w:keepNext/>
      </w:pPr>
      <w:r>
        <w:rPr>
          <w:rFonts w:ascii="Noto Sans CJK SC" w:hAnsi="Noto Sans CJK SC" w:eastAsia="Noto Sans CJK SC"/>
          <w:b/>
          <w:color w:val="1F4E79"/>
          <w:sz w:val="30"/>
        </w:rPr>
        <w:t>3. 战略前奏：为什么豫东战役会发生</w:t>
      </w:r>
    </w:p>
    <w:p>
      <w:pPr>
        <w:pStyle w:val="Heading2"/>
        <w:keepNext/>
      </w:pPr>
      <w:r>
        <w:rPr>
          <w:rFonts w:ascii="Noto Sans CJK SC" w:hAnsi="Noto Sans CJK SC" w:eastAsia="Noto Sans CJK SC"/>
          <w:b/>
          <w:color w:val="373737"/>
          <w:sz w:val="25"/>
        </w:rPr>
        <w:t>3.1 1947—1948年的核心争论：分兵渡江，还是集中在中原</w:t>
      </w:r>
    </w:p>
    <w:p>
      <w:pPr>
        <w:spacing w:after="80" w:line="324" w:lineRule="auto"/>
        <w:ind w:firstLine="420"/>
      </w:pPr>
      <w:r>
        <w:rPr>
          <w:rFonts w:ascii="Noto Serif CJK SC" w:hAnsi="Noto Serif CJK SC" w:eastAsia="Noto Serif CJK SC"/>
          <w:b w:val="0"/>
          <w:sz w:val="21"/>
        </w:rPr>
        <w:t>1947年中共中央曾多次讨论让华东野战军若干纵队南渡长江、在江南建立新的战略空间，以迫使国民党军分兵。到1948年初，粟裕认为在中原黄淮地区集中几个野战军的主力，更可能直接歼灭国民党大兵团。1月22日的建议、4月底至5月初的城南庄汇报，是这个战略争论的关键节点。中央最后采取折中但实质偏向粟裕的方案：南渡任务不永久取消，但推迟执行，先在中原打数月大仗。[2]</w:t>
      </w:r>
    </w:p>
    <w:p>
      <w:pPr>
        <w:spacing w:after="80" w:line="324" w:lineRule="auto"/>
        <w:ind w:firstLine="420"/>
      </w:pPr>
      <w:r>
        <w:rPr>
          <w:rFonts w:ascii="Noto Serif CJK SC" w:hAnsi="Noto Serif CJK SC" w:eastAsia="Noto Serif CJK SC"/>
          <w:b w:val="0"/>
          <w:sz w:val="21"/>
        </w:rPr>
        <w:t>这意味着粟裕面临一种特殊的“证明压力”：中央把原本准备南下的第一、第四、第六纵队留下，并给出4—8个月内打击第五军等主力的明确目标。如果集中作战不能取得足够结果，原来的渡江设想仍可能恢复。因此，豫东战役既有战场压力，也有战略方案的验证压力。这一点是合理推断（D），不能等同于“粟裕为了个人声誉冒险”。[2][10]</w:t>
      </w:r>
    </w:p>
    <w:p>
      <w:pPr>
        <w:pStyle w:val="Heading2"/>
        <w:keepNext/>
      </w:pPr>
      <w:r>
        <w:rPr>
          <w:rFonts w:ascii="Noto Sans CJK SC" w:hAnsi="Noto Sans CJK SC" w:eastAsia="Noto Sans CJK SC"/>
          <w:b/>
          <w:color w:val="373737"/>
          <w:sz w:val="25"/>
        </w:rPr>
        <w:t>3.2 为什么最初盯住邱清泉第五军</w:t>
      </w:r>
    </w:p>
    <w:p>
      <w:pPr>
        <w:spacing w:after="80" w:line="324" w:lineRule="auto"/>
        <w:ind w:firstLine="420"/>
      </w:pPr>
      <w:r>
        <w:rPr>
          <w:rFonts w:ascii="Noto Serif CJK SC" w:hAnsi="Noto Serif CJK SC" w:eastAsia="Noto Serif CJK SC"/>
          <w:b w:val="0"/>
          <w:sz w:val="21"/>
        </w:rPr>
        <w:t>第五军属于国民党军在中原的核心机动力量。中央5月指示以汴徐线南北地区为主要作战区域，尽可能打击第五军等强大集团。华野最早设计并不是“必打开放”，而是多次围绕如何调动、分割并攻击第五军调整方案。中国国防报把这个过程概括为“四易方案”：5月18日设想南渡黄河后歼东援第五军；5月20日因第五军南移改为南渡寻歼；随后又考虑先引敌南下再反向夹击；到6月上旬，才逐渐转向商丘、开封方向，6月14日前后形成“先打开封，后歼援敌”的应变方案。[3]</w:t>
      </w:r>
    </w:p>
    <w:p>
      <w:pPr>
        <w:spacing w:after="80" w:line="324" w:lineRule="auto"/>
      </w:pPr>
      <w:r>
        <w:rPr>
          <w:rFonts w:ascii="Noto Serif CJK SC" w:hAnsi="Noto Serif CJK SC" w:eastAsia="Noto Serif CJK SC"/>
          <w:b w:val="0"/>
          <w:sz w:val="21"/>
        </w:rPr>
        <w:t>这一连串变化说明：豫东战役不是预先写好的完整剧本，而是根据敌军是否愿意运动而逐步生成。粟裕的计划稳定的是“集中兵力歼灭一个可被分割的较大集团”，变化的是“用什么目标把对方逼到可以被分割的位置”。这是理解后续所有阶段的主线。</w:t>
      </w:r>
    </w:p>
    <w:p>
      <w:pPr>
        <w:pStyle w:val="Heading1"/>
        <w:keepNext/>
      </w:pPr>
      <w:r>
        <w:rPr>
          <w:rFonts w:ascii="Noto Sans CJK SC" w:hAnsi="Noto Sans CJK SC" w:eastAsia="Noto Sans CJK SC"/>
          <w:b/>
          <w:color w:val="1F4E79"/>
          <w:sz w:val="30"/>
        </w:rPr>
        <w:t>4. 六阶段时间线与逐阶段分析</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tblHeader w:val="true"/>
          <w:cantSplit/>
        </w:trPr>
        <w:tc>
          <w:tcPr>
            <w:tcW w:type="dxa" w:w="1191"/>
            <w:shd w:fill="D9EAF7"/>
            <w:tcMar>
              <w:top w:w="70" w:type="dxa"/>
              <w:start w:w="70" w:type="dxa"/>
              <w:bottom w:w="70" w:type="dxa"/>
              <w:end w:w="70" w:type="dxa"/>
            </w:tcMar>
            <w:vAlign w:val="center"/>
          </w:tcPr>
          <w:p>
            <w:pPr>
              <w:jc w:val="center"/>
            </w:pPr>
            <w:r>
              <w:rPr>
                <w:rFonts w:ascii="Noto Sans CJK SC" w:hAnsi="Noto Sans CJK SC" w:eastAsia="Noto Sans CJK SC"/>
                <w:b/>
                <w:sz w:val="16"/>
              </w:rPr>
              <w:t>阶段</w:t>
            </w:r>
          </w:p>
        </w:tc>
        <w:tc>
          <w:tcPr>
            <w:tcW w:type="dxa" w:w="1247"/>
            <w:shd w:fill="D9EAF7"/>
            <w:tcMar>
              <w:top w:w="70" w:type="dxa"/>
              <w:start w:w="70" w:type="dxa"/>
              <w:bottom w:w="70" w:type="dxa"/>
              <w:end w:w="70" w:type="dxa"/>
            </w:tcMar>
            <w:vAlign w:val="center"/>
          </w:tcPr>
          <w:p>
            <w:pPr>
              <w:jc w:val="center"/>
            </w:pPr>
            <w:r>
              <w:rPr>
                <w:rFonts w:ascii="Noto Sans CJK SC" w:hAnsi="Noto Sans CJK SC" w:eastAsia="Noto Sans CJK SC"/>
                <w:b/>
                <w:sz w:val="16"/>
              </w:rPr>
              <w:t>时间</w:t>
            </w:r>
          </w:p>
        </w:tc>
        <w:tc>
          <w:tcPr>
            <w:tcW w:type="dxa" w:w="1757"/>
            <w:shd w:fill="D9EAF7"/>
            <w:tcMar>
              <w:top w:w="70" w:type="dxa"/>
              <w:start w:w="70" w:type="dxa"/>
              <w:bottom w:w="70" w:type="dxa"/>
              <w:end w:w="70" w:type="dxa"/>
            </w:tcMar>
            <w:vAlign w:val="center"/>
          </w:tcPr>
          <w:p>
            <w:pPr>
              <w:jc w:val="center"/>
            </w:pPr>
            <w:r>
              <w:rPr>
                <w:rFonts w:ascii="Noto Sans CJK SC" w:hAnsi="Noto Sans CJK SC" w:eastAsia="Noto Sans CJK SC"/>
                <w:b/>
                <w:sz w:val="16"/>
              </w:rPr>
              <w:t>华野核心目标</w:t>
            </w:r>
          </w:p>
        </w:tc>
        <w:tc>
          <w:tcPr>
            <w:tcW w:type="dxa" w:w="2268"/>
            <w:shd w:fill="D9EAF7"/>
            <w:tcMar>
              <w:top w:w="70" w:type="dxa"/>
              <w:start w:w="70" w:type="dxa"/>
              <w:bottom w:w="70" w:type="dxa"/>
              <w:end w:w="70" w:type="dxa"/>
            </w:tcMar>
            <w:vAlign w:val="center"/>
          </w:tcPr>
          <w:p>
            <w:pPr>
              <w:jc w:val="center"/>
            </w:pPr>
            <w:r>
              <w:rPr>
                <w:rFonts w:ascii="Noto Sans CJK SC" w:hAnsi="Noto Sans CJK SC" w:eastAsia="Noto Sans CJK SC"/>
                <w:b/>
                <w:sz w:val="16"/>
              </w:rPr>
              <w:t>已确认事实</w:t>
            </w:r>
          </w:p>
        </w:tc>
        <w:tc>
          <w:tcPr>
            <w:tcW w:type="dxa" w:w="1871"/>
            <w:shd w:fill="D9EAF7"/>
            <w:tcMar>
              <w:top w:w="70" w:type="dxa"/>
              <w:start w:w="70" w:type="dxa"/>
              <w:bottom w:w="70" w:type="dxa"/>
              <w:end w:w="70" w:type="dxa"/>
            </w:tcMar>
            <w:vAlign w:val="center"/>
          </w:tcPr>
          <w:p>
            <w:pPr>
              <w:jc w:val="center"/>
            </w:pPr>
            <w:r>
              <w:rPr>
                <w:rFonts w:ascii="Noto Sans CJK SC" w:hAnsi="Noto Sans CJK SC" w:eastAsia="Noto Sans CJK SC"/>
                <w:b/>
                <w:sz w:val="16"/>
              </w:rPr>
              <w:t>关键不确定性</w:t>
            </w:r>
          </w:p>
        </w:tc>
        <w:tc>
          <w:tcPr>
            <w:tcW w:type="dxa" w:w="1984"/>
            <w:shd w:fill="D9EAF7"/>
            <w:tcMar>
              <w:top w:w="70" w:type="dxa"/>
              <w:start w:w="70" w:type="dxa"/>
              <w:bottom w:w="70" w:type="dxa"/>
              <w:end w:w="70" w:type="dxa"/>
            </w:tcMar>
            <w:vAlign w:val="center"/>
          </w:tcPr>
          <w:p>
            <w:pPr>
              <w:jc w:val="center"/>
            </w:pPr>
            <w:r>
              <w:rPr>
                <w:rFonts w:ascii="Noto Sans CJK SC" w:hAnsi="Noto Sans CJK SC" w:eastAsia="Noto Sans CJK SC"/>
                <w:b/>
                <w:sz w:val="16"/>
              </w:rPr>
              <w:t>状态变化</w:t>
            </w:r>
          </w:p>
        </w:tc>
      </w:tr>
      <w:tr>
        <w:trPr>
          <w:cantSplit/>
        </w:trPr>
        <w:tc>
          <w:tcPr>
            <w:tcW w:type="dxa" w:w="119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阶段0：战略选择</w:t>
            </w:r>
          </w:p>
        </w:tc>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1月22日—5月中旬</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暂缓立即渡江，集中中原作战</w:t>
            </w:r>
          </w:p>
        </w:tc>
        <w:tc>
          <w:tcPr>
            <w:tcW w:type="dxa" w:w="226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中央采纳暂缓南渡方案；粟裕任华野代司令员、代政委</w:t>
            </w:r>
          </w:p>
        </w:tc>
        <w:tc>
          <w:tcPr>
            <w:tcW w:type="dxa" w:w="187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中原能否形成大规模歼灭战条件</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从“战略讨论”转入“必须实战验证”</w:t>
            </w:r>
          </w:p>
        </w:tc>
      </w:tr>
      <w:tr>
        <w:trPr>
          <w:cantSplit/>
        </w:trPr>
        <w:tc>
          <w:tcPr>
            <w:tcW w:type="dxa" w:w="119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阶段1：方案迭代</w:t>
            </w:r>
          </w:p>
        </w:tc>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5月18日—6月16日</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寻找第五军→调敌→转攻开封</w:t>
            </w:r>
          </w:p>
        </w:tc>
        <w:tc>
          <w:tcPr>
            <w:tcW w:type="dxa" w:w="226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数次改变作战对象与方向</w:t>
            </w:r>
          </w:p>
        </w:tc>
        <w:tc>
          <w:tcPr>
            <w:tcW w:type="dxa" w:w="187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国军主力集中且谨慎，难以被单独抓住</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用开封这一高价值目标强迫对方行动</w:t>
            </w:r>
          </w:p>
        </w:tc>
      </w:tr>
      <w:tr>
        <w:trPr>
          <w:cantSplit/>
        </w:trPr>
        <w:tc>
          <w:tcPr>
            <w:tcW w:type="dxa" w:w="119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阶段2：开封战役</w:t>
            </w:r>
          </w:p>
        </w:tc>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6月17日—22日</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攻取开封并牵动多路援军</w:t>
            </w:r>
          </w:p>
        </w:tc>
        <w:tc>
          <w:tcPr>
            <w:tcW w:type="dxa" w:w="226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开封失守；邱、孙、胡等方向出现救援行动</w:t>
            </w:r>
          </w:p>
        </w:tc>
        <w:tc>
          <w:tcPr>
            <w:tcW w:type="dxa" w:w="187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是否守城，还是继续追求歼灭机动集团</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城市成为“调动器”，而非最终固定目标</w:t>
            </w:r>
          </w:p>
        </w:tc>
      </w:tr>
      <w:tr>
        <w:trPr>
          <w:cantSplit/>
        </w:trPr>
        <w:tc>
          <w:tcPr>
            <w:tcW w:type="dxa" w:w="119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阶段3：主动弃城与选敌</w:t>
            </w:r>
          </w:p>
        </w:tc>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6月23日—26日</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撤出开封、诱导援军拉开</w:t>
            </w:r>
          </w:p>
        </w:tc>
        <w:tc>
          <w:tcPr>
            <w:tcW w:type="dxa" w:w="226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邱清泉收复开封；区寿年与邱之间出现间隔</w:t>
            </w:r>
          </w:p>
        </w:tc>
        <w:tc>
          <w:tcPr>
            <w:tcW w:type="dxa" w:w="187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哪一路更适合成为主攻对象</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区寿年兵团被选为更可分割目标</w:t>
            </w:r>
          </w:p>
        </w:tc>
      </w:tr>
      <w:tr>
        <w:trPr>
          <w:cantSplit/>
        </w:trPr>
        <w:tc>
          <w:tcPr>
            <w:tcW w:type="dxa" w:w="119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阶段4：睢杞围歼</w:t>
            </w:r>
          </w:p>
        </w:tc>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6月27日—7月2日</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分割并打击区寿年兵团</w:t>
            </w:r>
          </w:p>
        </w:tc>
        <w:tc>
          <w:tcPr>
            <w:tcW w:type="dxa" w:w="226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区兵团部、整75师等被歼；区、沈被俘</w:t>
            </w:r>
          </w:p>
        </w:tc>
        <w:tc>
          <w:tcPr>
            <w:tcW w:type="dxa" w:w="187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能否在援军到达前扩大歼灭成果</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国军紧急调黄百韬增援，战场压力陡增</w:t>
            </w:r>
          </w:p>
        </w:tc>
      </w:tr>
      <w:tr>
        <w:trPr>
          <w:cantSplit/>
        </w:trPr>
        <w:tc>
          <w:tcPr>
            <w:tcW w:type="dxa" w:w="119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阶段5：黄百韬介入与撤出</w:t>
            </w:r>
          </w:p>
        </w:tc>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7月3日—6日（黄部7月1日前后已抵近）</w:t>
            </w:r>
          </w:p>
        </w:tc>
        <w:tc>
          <w:tcPr>
            <w:tcW w:type="dxa" w:w="175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打击黄百韬一部，同时避免被多路合围</w:t>
            </w:r>
          </w:p>
        </w:tc>
        <w:tc>
          <w:tcPr>
            <w:tcW w:type="dxa" w:w="226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黄部未被全歼；华野7月6日撤出</w:t>
            </w:r>
          </w:p>
        </w:tc>
        <w:tc>
          <w:tcPr>
            <w:tcW w:type="dxa" w:w="187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继续扩大战果还是保存主力结束战役</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从“追求更多歼灭”切换为“控制损失、保持主动”</w:t>
            </w:r>
          </w:p>
        </w:tc>
      </w:tr>
    </w:tbl>
    <w:p>
      <w:pPr>
        <w:spacing w:after="40"/>
      </w:pPr>
    </w:p>
    <w:p>
      <w:pPr>
        <w:pStyle w:val="Heading2"/>
        <w:keepNext/>
      </w:pPr>
      <w:r>
        <w:rPr>
          <w:rFonts w:ascii="Noto Sans CJK SC" w:hAnsi="Noto Sans CJK SC" w:eastAsia="Noto Sans CJK SC"/>
          <w:b/>
          <w:color w:val="373737"/>
          <w:sz w:val="25"/>
        </w:rPr>
        <w:t>阶段0：战略选择——“不渡江”不是取消南进，而是争取时间在中原验证另一条路</w:t>
      </w:r>
    </w:p>
    <w:p>
      <w:pPr>
        <w:spacing w:after="80" w:line="324" w:lineRule="auto"/>
        <w:ind w:firstLine="420"/>
      </w:pPr>
      <w:r>
        <w:rPr>
          <w:rFonts w:ascii="Noto Serif CJK SC" w:hAnsi="Noto Serif CJK SC" w:eastAsia="Noto Serif CJK SC"/>
          <w:b w:val="0"/>
          <w:sz w:val="21"/>
        </w:rPr>
        <w:t>已确认事实：1948年1月22日粟裕向中央提出三路大军在中原互相配合、忽集忽分，争取较完整地歼灭国民党一个较大集团；4月30日至5月7日城南庄会议听取汇报后，中央决定第一、四、第六纵队暂不立即南渡长江；5月5日军委进一步要求粟裕兵团在4—8个月内在汴徐线南北地区打击第五军等部。[2]</w:t>
      </w:r>
    </w:p>
    <w:p>
      <w:pPr>
        <w:spacing w:after="80" w:line="324" w:lineRule="auto"/>
      </w:pPr>
      <w:r>
        <w:rPr>
          <w:rFonts w:ascii="Noto Serif CJK SC" w:hAnsi="Noto Serif CJK SC" w:eastAsia="Noto Serif CJK SC"/>
          <w:b w:val="0"/>
          <w:sz w:val="21"/>
        </w:rPr>
        <w:t>信息结构：中央掌握全国战局，粟裕掌握华野兵力、补充、行军与中原敌情。两者关注点不同：中央希望通过战略机动分散国军，粟裕更强调集中兵力形成确定的歼敌机会。最后的方案实际上是把两种观点合并——战略南进目标保留，但先用中原会战检验是否能在长江以北大量削弱国军主力。</w:t>
      </w:r>
    </w:p>
    <w:p>
      <w:pPr>
        <w:spacing w:after="80" w:line="324" w:lineRule="auto"/>
      </w:pPr>
      <w:r>
        <w:rPr>
          <w:rFonts w:ascii="Noto Serif CJK SC" w:hAnsi="Noto Serif CJK SC" w:eastAsia="Noto Serif CJK SC"/>
          <w:b w:val="0"/>
          <w:sz w:val="21"/>
        </w:rPr>
        <w:t>阶段结论（D）：这一步最大的制度意义是允许前线指挥员用具体战场信息修正中央原定方案，同时中央保留期限和量化目标。它既不是“粟裕抗命成功”，也不是“中央完全改变战略”，而是一个带考核期限的战略试验。</w:t>
      </w:r>
    </w:p>
    <w:p>
      <w:pPr>
        <w:pStyle w:val="Heading2"/>
        <w:keepNext/>
      </w:pPr>
      <w:r>
        <w:rPr>
          <w:rFonts w:ascii="Noto Sans CJK SC" w:hAnsi="Noto Sans CJK SC" w:eastAsia="Noto Sans CJK SC"/>
          <w:b/>
          <w:color w:val="373737"/>
          <w:sz w:val="25"/>
        </w:rPr>
        <w:t>阶段1：5月18日—6月16日——计划连续变化，本身就是重要事实</w:t>
      </w:r>
    </w:p>
    <w:p>
      <w:pPr>
        <w:spacing w:after="80" w:line="324" w:lineRule="auto"/>
        <w:ind w:firstLine="420"/>
      </w:pPr>
      <w:r>
        <w:rPr>
          <w:rFonts w:ascii="Noto Serif CJK SC" w:hAnsi="Noto Serif CJK SC" w:eastAsia="Noto Serif CJK SC"/>
          <w:b w:val="0"/>
          <w:sz w:val="21"/>
        </w:rPr>
        <w:t>中国国防报所概括的“四易方案”显示，华野先后围绕第五军南移、敌军集中程度、商丘与开封方向反复调整。这里最值得注意的不是某一份方案“对不对”，而是粟裕没有把计划当作承诺，而是把计划当作假设：如果对手不按预想移动，原方案就失去价值。[3]</w:t>
      </w:r>
    </w:p>
    <w:p>
      <w:pPr>
        <w:spacing w:after="80" w:line="324" w:lineRule="auto"/>
      </w:pPr>
      <w:r>
        <w:rPr>
          <w:rFonts w:ascii="Noto Serif CJK SC" w:hAnsi="Noto Serif CJK SC" w:eastAsia="Noto Serif CJK SC"/>
          <w:b w:val="0"/>
          <w:sz w:val="21"/>
        </w:rPr>
        <w:t>国民党一侧的局部理性也很清楚：第五军如果保持集团化、避免孤立，就能降低被华野集中围攻的风险。因此，华野若继续“追着第五军找战机”，可能一直得不到低成本机会。攻开放的意义在于改变对方“不动最安全”的收益结构：一旦省会被攻，政治与军事压力会迫使多路部队移动。</w:t>
      </w:r>
    </w:p>
    <w:p>
      <w:pPr>
        <w:spacing w:after="80" w:line="324" w:lineRule="auto"/>
        <w:ind w:firstLine="420"/>
      </w:pPr>
      <w:r>
        <w:rPr>
          <w:rFonts w:ascii="Noto Serif CJK SC" w:hAnsi="Noto Serif CJK SC" w:eastAsia="Noto Serif CJK SC"/>
          <w:b w:val="0"/>
          <w:sz w:val="21"/>
        </w:rPr>
        <w:t>关键节点：6月14日前后“先打开封，后歼援敌”。这是第一次真正改变战役性质的节点，因为从此华野不再把“找到第五军”作为前置条件，而是主动创造一个必须引发救援反应的事件。[3]</w:t>
      </w:r>
    </w:p>
    <w:p>
      <w:pPr>
        <w:pStyle w:val="Heading2"/>
        <w:keepNext/>
      </w:pPr>
      <w:r>
        <w:rPr>
          <w:rFonts w:ascii="Noto Sans CJK SC" w:hAnsi="Noto Sans CJK SC" w:eastAsia="Noto Sans CJK SC"/>
          <w:b/>
          <w:color w:val="373737"/>
          <w:sz w:val="25"/>
        </w:rPr>
        <w:t>阶段2：6月17日—22日——开封：城市攻克只是第一层目标</w:t>
      </w:r>
    </w:p>
    <w:p>
      <w:pPr>
        <w:spacing w:after="80" w:line="324" w:lineRule="auto"/>
        <w:ind w:firstLine="420"/>
      </w:pPr>
      <w:r>
        <w:rPr>
          <w:rFonts w:ascii="Noto Serif CJK SC" w:hAnsi="Noto Serif CJK SC" w:eastAsia="Noto Serif CJK SC"/>
          <w:b w:val="0"/>
          <w:sz w:val="21"/>
        </w:rPr>
        <w:t>已确认事实：华野第3、第8纵队等在6月17—22日期间攻克开封；中共党史资料称这是解放军在关内首次攻克国民党军据守的省会城市。与此同时，多路国民党军向开封方向运动或被牵制。国史馆目录显示，6月18日蒋中正已经直接致电区寿年并转沈澄年、余锦源，称各路援军正在赶赴会师，说明南京最高层迅速把开封战事视为必须处理的危机。[1][3][4]</w:t>
      </w:r>
    </w:p>
    <w:p>
      <w:pPr>
        <w:spacing w:after="80" w:line="324" w:lineRule="auto"/>
      </w:pPr>
      <w:r>
        <w:rPr>
          <w:rFonts w:ascii="Noto Serif CJK SC" w:hAnsi="Noto Serif CJK SC" w:eastAsia="Noto Serif CJK SC"/>
          <w:b w:val="0"/>
          <w:sz w:val="21"/>
        </w:rPr>
        <w:t>国民党方面的选择并非单纯“中计”：如果完全不救开封，政治与交通后果很大；如果快速救援，又会把原本相对集中的机动兵力暴露在运动中。开封创造的是一个两难结构。华野的优势是可以选择什么时候停止攻城、什么时候转换目标，而国民党方面必须同时处理“收复开封”和“避免援军被各个击破”。</w:t>
      </w:r>
    </w:p>
    <w:p>
      <w:pPr>
        <w:spacing w:after="80" w:line="324" w:lineRule="auto"/>
      </w:pPr>
      <w:r>
        <w:rPr>
          <w:rFonts w:ascii="Noto Serif CJK SC" w:hAnsi="Noto Serif CJK SC" w:eastAsia="Noto Serif CJK SC"/>
          <w:b w:val="0"/>
          <w:sz w:val="21"/>
        </w:rPr>
        <w:t>阶段性评价：开封战役的军事价值不能只用“城后来又被国军收复”否定。对于华野而言，城市的最重要作用是把多个国军集团从较稳定的部署中拉出来；对于国民党政府而言，收复开封又具有必须兑现的政治意义。双方对同一城市的效用函数不同。</w:t>
      </w:r>
    </w:p>
    <w:p>
      <w:pPr>
        <w:pStyle w:val="Heading2"/>
        <w:keepNext/>
      </w:pPr>
      <w:r>
        <w:rPr>
          <w:rFonts w:ascii="Noto Sans CJK SC" w:hAnsi="Noto Sans CJK SC" w:eastAsia="Noto Sans CJK SC"/>
          <w:b/>
          <w:color w:val="373737"/>
          <w:sz w:val="25"/>
        </w:rPr>
        <w:t>阶段3：6月23日—26日——主动撤离开封与“选区不选邱”</w:t>
      </w:r>
    </w:p>
    <w:p>
      <w:pPr>
        <w:spacing w:after="80" w:line="324" w:lineRule="auto"/>
        <w:ind w:firstLine="420"/>
      </w:pPr>
      <w:r>
        <w:rPr>
          <w:rFonts w:ascii="Noto Serif CJK SC" w:hAnsi="Noto Serif CJK SC" w:eastAsia="Noto Serif CJK SC"/>
          <w:b w:val="0"/>
          <w:sz w:val="21"/>
        </w:rPr>
        <w:t>开封攻克后，粟裕没有以守城为最高目标。官方战史记载，6月26日晨第3、第8纵队撤离开封方向，其他主力向杞县、睢县相关地区重新集结；邱清泉部随后进入开封。战后如果只看地图，会看到“开封得而复失”，但从作战目标看，华野此时已经把目标切换为援军中的较弱、较孤立集团。[3]</w:t>
      </w:r>
    </w:p>
    <w:p>
      <w:pPr>
        <w:spacing w:after="80" w:line="324" w:lineRule="auto"/>
      </w:pPr>
      <w:r>
        <w:rPr>
          <w:rFonts w:ascii="Noto Serif CJK SC" w:hAnsi="Noto Serif CJK SC" w:eastAsia="Noto Serif CJK SC"/>
          <w:b w:val="0"/>
          <w:sz w:val="21"/>
        </w:rPr>
        <w:t>为什么是区寿年而不是邱清泉？现有资料更支持三个因素：第一，邱部是国军主要机动精锐，战斗力和机动性较强；第二，区寿年集团与邱部之间出现了距离和指挥节奏差；第三，中央军委和华野判断区部的作战经验和整体条件更适合成为当前主攻对象。网络上有把这一结果完全归因于国军内部某一“内奸”的说法，但公开证据不足以把复杂的部署差异归结为秘密操纵，本文不采纳这种单因果解释。</w:t>
      </w:r>
    </w:p>
    <w:p>
      <w:pPr>
        <w:spacing w:after="80" w:line="324" w:lineRule="auto"/>
      </w:pPr>
      <w:r>
        <w:rPr>
          <w:rFonts w:ascii="Noto Serif CJK SC" w:hAnsi="Noto Serif CJK SC" w:eastAsia="Noto Serif CJK SC"/>
          <w:b w:val="0"/>
          <w:sz w:val="21"/>
        </w:rPr>
        <w:t>关键能力：这一阶段体现的是“退出能力”。开封已经投入巨大声誉，如果华野把“必须长期守住省会”当作面子目标，反而会失去机动作战空间。能够把已经取得的象征性成果视为可放弃资产，是战役得以进入第二个高收益窗口的前提。</w:t>
      </w:r>
    </w:p>
    <w:p>
      <w:pPr>
        <w:pStyle w:val="Heading2"/>
        <w:keepNext/>
      </w:pPr>
      <w:r>
        <w:rPr>
          <w:rFonts w:ascii="Noto Sans CJK SC" w:hAnsi="Noto Sans CJK SC" w:eastAsia="Noto Sans CJK SC"/>
          <w:b/>
          <w:color w:val="373737"/>
          <w:sz w:val="25"/>
        </w:rPr>
        <w:t>阶段4：6月27日—7月2日——睢杞：豫东战役最明确的决定性成果</w:t>
      </w:r>
    </w:p>
    <w:p>
      <w:pPr>
        <w:spacing w:after="80" w:line="324" w:lineRule="auto"/>
        <w:ind w:firstLine="420"/>
      </w:pPr>
      <w:r>
        <w:rPr>
          <w:rFonts w:ascii="Noto Serif CJK SC" w:hAnsi="Noto Serif CJK SC" w:eastAsia="Noto Serif CJK SC"/>
          <w:b w:val="0"/>
          <w:sz w:val="21"/>
        </w:rPr>
        <w:t>已确认事实：6月27日至7月2日，华野在睢县、杞县地区围攻区寿年兵团，最终摧毁兵团部、整编第75师等重要单位，区寿年与整75师师长沈澄年被俘。中共官方战史对此记载一致；国史馆“武装叛国”档案卷中保存6月30日至7月12日期间周碞、区寿年等战况电报目录，内容包括全线受攻、部分阵地被突破等信息，能从国民党一方独立证明该集团确实陷入严重危机。[1][5]</w:t>
      </w:r>
    </w:p>
    <w:p>
      <w:pPr>
        <w:spacing w:after="80" w:line="324" w:lineRule="auto"/>
      </w:pPr>
      <w:r>
        <w:rPr>
          <w:rFonts w:ascii="Noto Serif CJK SC" w:hAnsi="Noto Serif CJK SC" w:eastAsia="Noto Serif CJK SC"/>
          <w:b w:val="0"/>
          <w:sz w:val="21"/>
        </w:rPr>
        <w:t>动态信息不对称：华野最接近的是局部包围圈和援军到达速度；南京最接近的是全局可调兵力，却难以实时掌握每个村落、道路和集团间隙；区寿年最接近自身危局，却没有决定全部援军路线和速度的权力。这里清楚体现“最接近真相、最能判断、最有权改变”三者并不重合。</w:t>
      </w:r>
    </w:p>
    <w:p>
      <w:pPr>
        <w:spacing w:after="80" w:line="324" w:lineRule="auto"/>
      </w:pPr>
      <w:r>
        <w:rPr>
          <w:rFonts w:ascii="Noto Serif CJK SC" w:hAnsi="Noto Serif CJK SC" w:eastAsia="Noto Serif CJK SC"/>
          <w:b w:val="0"/>
          <w:sz w:val="21"/>
        </w:rPr>
        <w:t>为什么这一阶段成功？可确认的机制不是“国军没人救”，而是救援力量在时间和空间上未能及时合拢。邱清泉、西面其他集团和后来的黄百韬都在行动，但区寿年集团在援军形成有效会合之前已经被分割。换言之，问题主要是协同时间窗而非援救意愿本身。</w:t>
      </w:r>
    </w:p>
    <w:p>
      <w:pPr>
        <w:pStyle w:val="Heading2"/>
        <w:keepNext/>
      </w:pPr>
      <w:r>
        <w:rPr>
          <w:rFonts w:ascii="Noto Sans CJK SC" w:hAnsi="Noto Sans CJK SC" w:eastAsia="Noto Sans CJK SC"/>
          <w:b/>
          <w:color w:val="373737"/>
          <w:sz w:val="25"/>
        </w:rPr>
        <w:t>阶段5：7月3日—6日——黄百韬介入：从扩大胜果转向控制风险</w:t>
      </w:r>
    </w:p>
    <w:p>
      <w:pPr>
        <w:spacing w:after="80" w:line="324" w:lineRule="auto"/>
        <w:ind w:firstLine="420"/>
      </w:pPr>
      <w:r>
        <w:rPr>
          <w:rFonts w:ascii="Noto Serif CJK SC" w:hAnsi="Noto Serif CJK SC" w:eastAsia="Noto Serif CJK SC"/>
          <w:b w:val="0"/>
          <w:sz w:val="21"/>
        </w:rPr>
        <w:t>国民党紧急把原拟用于山东方向的黄百韬部调往豫东。官方中共战史把7月3—6日视为“迎击黄百韬兵团、歼其一部”的第三阶段；台湾国防部关于黄百韬的官方人物资料则把这段经历叙述为“中原大捷”，并记其获青天白日勋章。两条来源正好体现战后叙事分歧，但共同确认了三个事实：黄部及时进入战场；黄部没有被华野全歼；这次作战在国民党体系内被视为重要战功。[1][8]</w:t>
      </w:r>
    </w:p>
    <w:p>
      <w:pPr>
        <w:spacing w:after="80" w:line="324" w:lineRule="auto"/>
        <w:ind w:firstLine="420"/>
      </w:pPr>
      <w:r>
        <w:rPr>
          <w:rFonts w:ascii="Noto Serif CJK SC" w:hAnsi="Noto Serif CJK SC" w:eastAsia="Noto Serif CJK SC"/>
          <w:b w:val="0"/>
          <w:sz w:val="21"/>
        </w:rPr>
        <w:t>对粟裕而言，7月初的效用函数发生变化。此前继续作战的主要收益是扩大对区兵团的歼灭；此时新增的风险是邱清泉等部从西面压近、黄百韬在东面形成新压力、华野连续作战后疲劳和减员上升。7月6日撤出战斗说明“保持主力完整与战役主动”最终压过“继续追求全歼黄百韬”的收益。官方资料也明确把撤出解释为敌多线增援后保持主动的选择。[1][3]</w:t>
      </w:r>
    </w:p>
    <w:p>
      <w:pPr>
        <w:spacing w:after="80" w:line="324" w:lineRule="auto"/>
      </w:pPr>
      <w:r>
        <w:rPr>
          <w:rFonts w:ascii="Noto Serif CJK SC" w:hAnsi="Noto Serif CJK SC" w:eastAsia="Noto Serif CJK SC"/>
          <w:b w:val="0"/>
          <w:sz w:val="21"/>
        </w:rPr>
        <w:t>争议判断：这一阶段不宜写成“黄百韬被粟裕击败”或“黄百韬击败粟裕”两种简单句。更准确的是：黄部完成了使部分国军免于继续被围歼的救援效果，并在国军叙事中成为后期亮点；华野则已经实现对区兵团的主要歼灭目标，在未能继续扩大战果后主动结束战役。谁“赢”取决于评价层级：后期局部交锋、整个战役、还是中原战略态势，答案不同。</w:t>
      </w:r>
    </w:p>
    <w:p>
      <w:pPr>
        <w:pStyle w:val="Heading1"/>
        <w:keepNext/>
      </w:pPr>
      <w:r>
        <w:rPr>
          <w:rFonts w:ascii="Noto Sans CJK SC" w:hAnsi="Noto Sans CJK SC" w:eastAsia="Noto Sans CJK SC"/>
          <w:b/>
          <w:color w:val="1F4E79"/>
          <w:sz w:val="30"/>
        </w:rPr>
        <w:t>5. 利益相关者地图与动态信息集</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rPr>
          <w:tblHeader w:val="true"/>
          <w:cantSplit/>
        </w:trPr>
        <w:tc>
          <w:tcPr>
            <w:tcW w:type="dxa" w:w="1247"/>
            <w:shd w:fill="D9EAF7"/>
            <w:tcMar>
              <w:top w:w="70" w:type="dxa"/>
              <w:start w:w="70" w:type="dxa"/>
              <w:bottom w:w="70" w:type="dxa"/>
              <w:end w:w="70" w:type="dxa"/>
            </w:tcMar>
            <w:vAlign w:val="center"/>
          </w:tcPr>
          <w:p>
            <w:pPr>
              <w:jc w:val="center"/>
            </w:pPr>
            <w:r>
              <w:rPr>
                <w:rFonts w:ascii="Noto Sans CJK SC" w:hAnsi="Noto Sans CJK SC" w:eastAsia="Noto Sans CJK SC"/>
                <w:b/>
                <w:sz w:val="15"/>
              </w:rPr>
              <w:t>参与方</w:t>
            </w:r>
          </w:p>
        </w:tc>
        <w:tc>
          <w:tcPr>
            <w:tcW w:type="dxa" w:w="1361"/>
            <w:shd w:fill="D9EAF7"/>
            <w:tcMar>
              <w:top w:w="70" w:type="dxa"/>
              <w:start w:w="70" w:type="dxa"/>
              <w:bottom w:w="70" w:type="dxa"/>
              <w:end w:w="70" w:type="dxa"/>
            </w:tcMar>
            <w:vAlign w:val="center"/>
          </w:tcPr>
          <w:p>
            <w:pPr>
              <w:jc w:val="center"/>
            </w:pPr>
            <w:r>
              <w:rPr>
                <w:rFonts w:ascii="Noto Sans CJK SC" w:hAnsi="Noto Sans CJK SC" w:eastAsia="Noto Sans CJK SC"/>
                <w:b/>
                <w:sz w:val="15"/>
              </w:rPr>
              <w:t>Role</w:t>
            </w:r>
          </w:p>
        </w:tc>
        <w:tc>
          <w:tcPr>
            <w:tcW w:type="dxa" w:w="1701"/>
            <w:shd w:fill="D9EAF7"/>
            <w:tcMar>
              <w:top w:w="70" w:type="dxa"/>
              <w:start w:w="70" w:type="dxa"/>
              <w:bottom w:w="70" w:type="dxa"/>
              <w:end w:w="70" w:type="dxa"/>
            </w:tcMar>
            <w:vAlign w:val="center"/>
          </w:tcPr>
          <w:p>
            <w:pPr>
              <w:jc w:val="center"/>
            </w:pPr>
            <w:r>
              <w:rPr>
                <w:rFonts w:ascii="Noto Sans CJK SC" w:hAnsi="Noto Sans CJK SC" w:eastAsia="Noto Sans CJK SC"/>
                <w:b/>
                <w:sz w:val="15"/>
              </w:rPr>
              <w:t>Information</w:t>
            </w:r>
          </w:p>
        </w:tc>
        <w:tc>
          <w:tcPr>
            <w:tcW w:type="dxa" w:w="1020"/>
            <w:shd w:fill="D9EAF7"/>
            <w:tcMar>
              <w:top w:w="70" w:type="dxa"/>
              <w:start w:w="70" w:type="dxa"/>
              <w:bottom w:w="70" w:type="dxa"/>
              <w:end w:w="70" w:type="dxa"/>
            </w:tcMar>
            <w:vAlign w:val="center"/>
          </w:tcPr>
          <w:p>
            <w:pPr>
              <w:jc w:val="center"/>
            </w:pPr>
            <w:r>
              <w:rPr>
                <w:rFonts w:ascii="Noto Sans CJK SC" w:hAnsi="Noto Sans CJK SC" w:eastAsia="Noto Sans CJK SC"/>
                <w:b/>
                <w:sz w:val="15"/>
              </w:rPr>
              <w:t>Expertise</w:t>
            </w:r>
          </w:p>
        </w:tc>
        <w:tc>
          <w:tcPr>
            <w:tcW w:type="dxa" w:w="1531"/>
            <w:shd w:fill="D9EAF7"/>
            <w:tcMar>
              <w:top w:w="70" w:type="dxa"/>
              <w:start w:w="70" w:type="dxa"/>
              <w:bottom w:w="70" w:type="dxa"/>
              <w:end w:w="70" w:type="dxa"/>
            </w:tcMar>
            <w:vAlign w:val="center"/>
          </w:tcPr>
          <w:p>
            <w:pPr>
              <w:jc w:val="center"/>
            </w:pPr>
            <w:r>
              <w:rPr>
                <w:rFonts w:ascii="Noto Sans CJK SC" w:hAnsi="Noto Sans CJK SC" w:eastAsia="Noto Sans CJK SC"/>
                <w:b/>
                <w:sz w:val="15"/>
              </w:rPr>
              <w:t>Power</w:t>
            </w:r>
          </w:p>
        </w:tc>
        <w:tc>
          <w:tcPr>
            <w:tcW w:type="dxa" w:w="1814"/>
            <w:shd w:fill="D9EAF7"/>
            <w:tcMar>
              <w:top w:w="70" w:type="dxa"/>
              <w:start w:w="70" w:type="dxa"/>
              <w:bottom w:w="70" w:type="dxa"/>
              <w:end w:w="70" w:type="dxa"/>
            </w:tcMar>
            <w:vAlign w:val="center"/>
          </w:tcPr>
          <w:p>
            <w:pPr>
              <w:jc w:val="center"/>
            </w:pPr>
            <w:r>
              <w:rPr>
                <w:rFonts w:ascii="Noto Sans CJK SC" w:hAnsi="Noto Sans CJK SC" w:eastAsia="Noto Sans CJK SC"/>
                <w:b/>
                <w:sz w:val="15"/>
              </w:rPr>
              <w:t>核心利益</w:t>
            </w:r>
          </w:p>
        </w:tc>
        <w:tc>
          <w:tcPr>
            <w:tcW w:type="dxa" w:w="1701"/>
            <w:shd w:fill="D9EAF7"/>
            <w:tcMar>
              <w:top w:w="70" w:type="dxa"/>
              <w:start w:w="70" w:type="dxa"/>
              <w:bottom w:w="70" w:type="dxa"/>
              <w:end w:w="70" w:type="dxa"/>
            </w:tcMar>
            <w:vAlign w:val="center"/>
          </w:tcPr>
          <w:p>
            <w:pPr>
              <w:jc w:val="center"/>
            </w:pPr>
            <w:r>
              <w:rPr>
                <w:rFonts w:ascii="Noto Sans CJK SC" w:hAnsi="Noto Sans CJK SC" w:eastAsia="Noto Sans CJK SC"/>
                <w:b/>
                <w:sz w:val="15"/>
              </w:rPr>
              <w:t>主要风险</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粟裕/华野前委</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华野战役指挥</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本部敌情、电报、部队状态、局部侦察</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很高</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选择主攻对象、转换阶段、撤出</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验证集中中原作战可行；大量歼敌；保存主力</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连续作战减员；若失败会削弱战略方案可信度</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中共中央/中央军委</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战略决策与跨战区协调</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全国战场、各野战军报告</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很高（宏观）</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批准战略方向、调配协同力量</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在长江以北削弱国军主力、改善全国战局</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分兵或集中判断错误的全局代价</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陈毅/中原局、中野领导</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战略协同与政治组织</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中原广域敌情、友军状态</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高</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外围牵制、协同、政策支持</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稳定中原根据地、协助华野形成战机</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自身战区压力、协同成本</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蒋中正/南京国防体系</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国军最高决策</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全国兵力、战报、政治影响</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很高（宏观）</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调兵、督战、奖惩、设定优先级</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保省会与交通线、维持中原防御、避免精锐被歼</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城市失守、兵团被围、政治威信受损</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徐州指挥体系</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战区统筹</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各兵团位置与战报</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高</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协调邱、区、黄、孙等集团</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恢复陇海线、救援被围部队</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多兵团协同失败、命令滞后或冲突</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邱清泉集团</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主要机动力量</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自身态势、邻近敌情</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高（局部）</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快速机动、支援或保持集团完整</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保存精锐、完成收复与救援任务</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被诱入孤立战场、承担过多救援风险</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区寿年集团</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被围主角</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自身阵地、近距离敌情</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高（局部）</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固守、突围、请求援军</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生存与等待会师</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援军不到前被分割歼灭</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黄百韬集团</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后期增援力量</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自身进军与前线接触信息</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高（局部）</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进入战场并协助解围</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完成救援、提升战功与部队声誉</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进入已经高度集中的华野主力附近</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开封守军/河南地方当局</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城市防守与地方治理</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城防、补给、地方情况</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中</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守城、请求援军</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守住省会与行政中心</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孤立后被集中攻击</w:t>
            </w:r>
          </w:p>
        </w:tc>
      </w:tr>
      <w:tr>
        <w:trPr>
          <w:cantSplit/>
        </w:trPr>
        <w:tc>
          <w:tcPr>
            <w:tcW w:type="dxa" w:w="124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地方民众与支前体系</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后勤与社会承载</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地方道路、粮食、人员</w:t>
            </w:r>
          </w:p>
        </w:tc>
        <w:tc>
          <w:tcPr>
            <w:tcW w:type="dxa" w:w="1020"/>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分散</w:t>
            </w:r>
          </w:p>
        </w:tc>
        <w:tc>
          <w:tcPr>
            <w:tcW w:type="dxa" w:w="153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运输、补给、避战</w:t>
            </w:r>
          </w:p>
        </w:tc>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安全、生计、政治立场各异</w:t>
            </w:r>
          </w:p>
        </w:tc>
        <w:tc>
          <w:tcPr>
            <w:tcW w:type="dxa" w:w="170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5"/>
              </w:rPr>
              <w:t>战区破坏、征集与流动风险</w:t>
            </w:r>
          </w:p>
        </w:tc>
      </w:tr>
    </w:tbl>
    <w:p>
      <w:pPr>
        <w:spacing w:after="40"/>
      </w:pPr>
    </w:p>
    <w:p>
      <w:pPr>
        <w:pStyle w:val="Heading2"/>
        <w:keepNext/>
      </w:pPr>
      <w:r>
        <w:rPr>
          <w:rFonts w:ascii="Noto Sans CJK SC" w:hAnsi="Noto Sans CJK SC" w:eastAsia="Noto Sans CJK SC"/>
          <w:b/>
          <w:color w:val="373737"/>
          <w:sz w:val="25"/>
        </w:rPr>
        <w:t>5.1 谁最接近真相、谁最能判断、谁最有权改变？</w:t>
      </w:r>
    </w:p>
    <w:p>
      <w:pPr>
        <w:pStyle w:val="ListBullet"/>
        <w:spacing w:after="40" w:line="300" w:lineRule="auto"/>
      </w:pPr>
      <w:r>
        <w:rPr>
          <w:rFonts w:ascii="Noto Serif CJK SC" w:hAnsi="Noto Serif CJK SC" w:eastAsia="Noto Serif CJK SC"/>
          <w:b w:val="0"/>
          <w:sz w:val="20"/>
        </w:rPr>
        <w:t>最接近“区寿年集团是否即将崩溃”的，是区部自身、邻近国军和华野前沿指挥系统；但他们并不拥有全国调兵权。</w:t>
      </w:r>
    </w:p>
    <w:p>
      <w:pPr>
        <w:pStyle w:val="ListBullet"/>
        <w:spacing w:after="40" w:line="300" w:lineRule="auto"/>
      </w:pPr>
      <w:r>
        <w:rPr>
          <w:rFonts w:ascii="Noto Serif CJK SC" w:hAnsi="Noto Serif CJK SC" w:eastAsia="Noto Serif CJK SC"/>
          <w:b w:val="0"/>
          <w:sz w:val="20"/>
        </w:rPr>
        <w:t>最有权力改变增援优先级的是南京与徐州上级体系；但其信息天然比前线滞后，而且战报往往带有组织性过滤。</w:t>
      </w:r>
    </w:p>
    <w:p>
      <w:pPr>
        <w:pStyle w:val="ListBullet"/>
        <w:spacing w:after="40" w:line="300" w:lineRule="auto"/>
      </w:pPr>
      <w:r>
        <w:rPr>
          <w:rFonts w:ascii="Noto Serif CJK SC" w:hAnsi="Noto Serif CJK SC" w:eastAsia="Noto Serif CJK SC"/>
          <w:b w:val="0"/>
          <w:sz w:val="20"/>
        </w:rPr>
        <w:t>最有能力判断“何时应该结束战役”的是掌握华野整体伤亡、疲劳、弹药和周边援军态势的粟裕指挥系统；一线纵队只能看到局部。</w:t>
      </w:r>
    </w:p>
    <w:p>
      <w:pPr>
        <w:pStyle w:val="ListBullet"/>
        <w:spacing w:after="40" w:line="300" w:lineRule="auto"/>
      </w:pPr>
      <w:r>
        <w:rPr>
          <w:rFonts w:ascii="Noto Serif CJK SC" w:hAnsi="Noto Serif CJK SC" w:eastAsia="Noto Serif CJK SC"/>
          <w:b w:val="0"/>
          <w:sz w:val="20"/>
        </w:rPr>
        <w:t>因此，不能用“某人知道某个局部事实”推导“他有能力阻止整个结果”。信息、专业判断与权力必须分开。</w:t>
      </w:r>
    </w:p>
    <w:p>
      <w:pPr>
        <w:pStyle w:val="Heading1"/>
        <w:keepNext/>
      </w:pPr>
      <w:r>
        <w:rPr>
          <w:rFonts w:ascii="Noto Sans CJK SC" w:hAnsi="Noto Sans CJK SC" w:eastAsia="Noto Sans CJK SC"/>
          <w:b/>
          <w:color w:val="1F4E79"/>
          <w:sz w:val="30"/>
        </w:rPr>
        <w:t>6. 关键决策节点与替代方案</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tblHeader w:val="true"/>
          <w:cantSplit/>
        </w:trPr>
        <w:tc>
          <w:tcPr>
            <w:tcW w:type="dxa" w:w="1361"/>
            <w:shd w:fill="D9EAF7"/>
            <w:tcMar>
              <w:top w:w="70" w:type="dxa"/>
              <w:start w:w="70" w:type="dxa"/>
              <w:bottom w:w="70" w:type="dxa"/>
              <w:end w:w="70" w:type="dxa"/>
            </w:tcMar>
            <w:vAlign w:val="center"/>
          </w:tcPr>
          <w:p>
            <w:pPr>
              <w:jc w:val="center"/>
            </w:pPr>
            <w:r>
              <w:rPr>
                <w:rFonts w:ascii="Noto Sans CJK SC" w:hAnsi="Noto Sans CJK SC" w:eastAsia="Noto Sans CJK SC"/>
                <w:b/>
                <w:sz w:val="16"/>
              </w:rPr>
              <w:t>节点</w:t>
            </w:r>
          </w:p>
        </w:tc>
        <w:tc>
          <w:tcPr>
            <w:tcW w:type="dxa" w:w="1134"/>
            <w:shd w:fill="D9EAF7"/>
            <w:tcMar>
              <w:top w:w="70" w:type="dxa"/>
              <w:start w:w="70" w:type="dxa"/>
              <w:bottom w:w="70" w:type="dxa"/>
              <w:end w:w="70" w:type="dxa"/>
            </w:tcMar>
            <w:vAlign w:val="center"/>
          </w:tcPr>
          <w:p>
            <w:pPr>
              <w:jc w:val="center"/>
            </w:pPr>
            <w:r>
              <w:rPr>
                <w:rFonts w:ascii="Noto Sans CJK SC" w:hAnsi="Noto Sans CJK SC" w:eastAsia="Noto Sans CJK SC"/>
                <w:b/>
                <w:sz w:val="16"/>
              </w:rPr>
              <w:t>时间</w:t>
            </w:r>
          </w:p>
        </w:tc>
        <w:tc>
          <w:tcPr>
            <w:tcW w:type="dxa" w:w="2381"/>
            <w:shd w:fill="D9EAF7"/>
            <w:tcMar>
              <w:top w:w="70" w:type="dxa"/>
              <w:start w:w="70" w:type="dxa"/>
              <w:bottom w:w="70" w:type="dxa"/>
              <w:end w:w="70" w:type="dxa"/>
            </w:tcMar>
            <w:vAlign w:val="center"/>
          </w:tcPr>
          <w:p>
            <w:pPr>
              <w:jc w:val="center"/>
            </w:pPr>
            <w:r>
              <w:rPr>
                <w:rFonts w:ascii="Noto Sans CJK SC" w:hAnsi="Noto Sans CJK SC" w:eastAsia="Noto Sans CJK SC"/>
                <w:b/>
                <w:sz w:val="16"/>
              </w:rPr>
              <w:t>可选策略</w:t>
            </w:r>
          </w:p>
        </w:tc>
        <w:tc>
          <w:tcPr>
            <w:tcW w:type="dxa" w:w="1587"/>
            <w:shd w:fill="D9EAF7"/>
            <w:tcMar>
              <w:top w:w="70" w:type="dxa"/>
              <w:start w:w="70" w:type="dxa"/>
              <w:bottom w:w="70" w:type="dxa"/>
              <w:end w:w="70" w:type="dxa"/>
            </w:tcMar>
            <w:vAlign w:val="center"/>
          </w:tcPr>
          <w:p>
            <w:pPr>
              <w:jc w:val="center"/>
            </w:pPr>
            <w:r>
              <w:rPr>
                <w:rFonts w:ascii="Noto Sans CJK SC" w:hAnsi="Noto Sans CJK SC" w:eastAsia="Noto Sans CJK SC"/>
                <w:b/>
                <w:sz w:val="16"/>
              </w:rPr>
              <w:t>实际选择</w:t>
            </w:r>
          </w:p>
        </w:tc>
        <w:tc>
          <w:tcPr>
            <w:tcW w:type="dxa" w:w="2381"/>
            <w:shd w:fill="D9EAF7"/>
            <w:tcMar>
              <w:top w:w="70" w:type="dxa"/>
              <w:start w:w="70" w:type="dxa"/>
              <w:bottom w:w="70" w:type="dxa"/>
              <w:end w:w="70" w:type="dxa"/>
            </w:tcMar>
            <w:vAlign w:val="center"/>
          </w:tcPr>
          <w:p>
            <w:pPr>
              <w:jc w:val="center"/>
            </w:pPr>
            <w:r>
              <w:rPr>
                <w:rFonts w:ascii="Noto Sans CJK SC" w:hAnsi="Noto Sans CJK SC" w:eastAsia="Noto Sans CJK SC"/>
                <w:b/>
                <w:sz w:val="16"/>
              </w:rPr>
              <w:t>主要逻辑</w:t>
            </w:r>
          </w:p>
        </w:tc>
        <w:tc>
          <w:tcPr>
            <w:tcW w:type="dxa" w:w="1361"/>
            <w:shd w:fill="D9EAF7"/>
            <w:tcMar>
              <w:top w:w="70" w:type="dxa"/>
              <w:start w:w="70" w:type="dxa"/>
              <w:bottom w:w="70" w:type="dxa"/>
              <w:end w:w="70" w:type="dxa"/>
            </w:tcMar>
            <w:vAlign w:val="center"/>
          </w:tcPr>
          <w:p>
            <w:pPr>
              <w:jc w:val="center"/>
            </w:pPr>
            <w:r>
              <w:rPr>
                <w:rFonts w:ascii="Noto Sans CJK SC" w:hAnsi="Noto Sans CJK SC" w:eastAsia="Noto Sans CJK SC"/>
                <w:b/>
                <w:sz w:val="16"/>
              </w:rPr>
              <w:t>当时合理性</w:t>
            </w:r>
          </w:p>
        </w:tc>
      </w:tr>
      <w:tr>
        <w:trPr>
          <w:cantSplit/>
        </w:trPr>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A. 是否立即渡江</w:t>
            </w:r>
          </w:p>
        </w:tc>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4月底—5月初</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按原计划分兵南下；暂缓渡江集中中原</w:t>
            </w:r>
          </w:p>
        </w:tc>
        <w:tc>
          <w:tcPr>
            <w:tcW w:type="dxa" w:w="158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暂缓渡江</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保留南渡战略目标，但争取4—8个月验证中原大仗</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在当时信息下合理；有明确考核期限</w:t>
            </w:r>
          </w:p>
        </w:tc>
      </w:tr>
      <w:tr>
        <w:trPr>
          <w:cantSplit/>
        </w:trPr>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B. 是否继续追第五军</w:t>
            </w:r>
          </w:p>
        </w:tc>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6月上旬</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继续寻歼第五军；攻击高价值节点迫敌运动</w:t>
            </w:r>
          </w:p>
        </w:tc>
        <w:tc>
          <w:tcPr>
            <w:tcW w:type="dxa" w:w="158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转向开封</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改变敌方“不动最安全”的局面</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较高合理性</w:t>
            </w:r>
          </w:p>
        </w:tc>
      </w:tr>
      <w:tr>
        <w:trPr>
          <w:cantSplit/>
        </w:trPr>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C. 开封攻克后是否固守</w:t>
            </w:r>
          </w:p>
        </w:tc>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6月22—26</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守城；短暂停留后撤；立即转入打援</w:t>
            </w:r>
          </w:p>
        </w:tc>
        <w:tc>
          <w:tcPr>
            <w:tcW w:type="dxa" w:w="158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主动撤离</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避免被城市目标锁定，保留选择权</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关键正确节点</w:t>
            </w:r>
          </w:p>
        </w:tc>
      </w:tr>
      <w:tr>
        <w:trPr>
          <w:cantSplit/>
        </w:trPr>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D. 选邱还是选区</w:t>
            </w:r>
          </w:p>
        </w:tc>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6月26—27</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打邱清泉；打区寿年；撤走休整</w:t>
            </w:r>
          </w:p>
        </w:tc>
        <w:tc>
          <w:tcPr>
            <w:tcW w:type="dxa" w:w="158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打区寿年</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对较孤立、较弱目标形成更好局部条件</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现有证据支持</w:t>
            </w:r>
          </w:p>
        </w:tc>
      </w:tr>
      <w:tr>
        <w:trPr>
          <w:cantSplit/>
        </w:trPr>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E. 区兵团受创后是否继续扩大</w:t>
            </w:r>
          </w:p>
        </w:tc>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7月1—3</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继续攻72师；转向黄百韬；逐步结束</w:t>
            </w:r>
          </w:p>
        </w:tc>
        <w:tc>
          <w:tcPr>
            <w:tcW w:type="dxa" w:w="158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转向黄部并继续短期作战</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希望在撤出前再削弱新援军</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收益与风险都高</w:t>
            </w:r>
          </w:p>
        </w:tc>
      </w:tr>
      <w:tr>
        <w:trPr>
          <w:cantSplit/>
        </w:trPr>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F. 7月6日是否继续</w:t>
            </w:r>
          </w:p>
        </w:tc>
        <w:tc>
          <w:tcPr>
            <w:tcW w:type="dxa" w:w="113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7月6日</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继续围攻；边打边撤；全面撤出</w:t>
            </w:r>
          </w:p>
        </w:tc>
        <w:tc>
          <w:tcPr>
            <w:tcW w:type="dxa" w:w="1587"/>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撤出战斗</w:t>
            </w:r>
          </w:p>
        </w:tc>
        <w:tc>
          <w:tcPr>
            <w:tcW w:type="dxa" w:w="238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多路援军接近、部队疲劳，保存主力</w:t>
            </w:r>
          </w:p>
        </w:tc>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事前风险控制上合理</w:t>
            </w:r>
          </w:p>
        </w:tc>
      </w:tr>
    </w:tbl>
    <w:p>
      <w:pPr>
        <w:spacing w:after="40"/>
      </w:pPr>
    </w:p>
    <w:p>
      <w:pPr>
        <w:pStyle w:val="Heading2"/>
        <w:keepNext/>
      </w:pPr>
      <w:r>
        <w:rPr>
          <w:rFonts w:ascii="Noto Sans CJK SC" w:hAnsi="Noto Sans CJK SC" w:eastAsia="Noto Sans CJK SC"/>
          <w:b/>
          <w:color w:val="373737"/>
          <w:sz w:val="25"/>
        </w:rPr>
        <w:t>6.1 最后一个低成本退出窗口在哪里？</w:t>
      </w:r>
    </w:p>
    <w:p>
      <w:pPr>
        <w:spacing w:after="80" w:line="324" w:lineRule="auto"/>
      </w:pPr>
      <w:r>
        <w:rPr>
          <w:rFonts w:ascii="Noto Serif CJK SC" w:hAnsi="Noto Serif CJK SC" w:eastAsia="Noto Serif CJK SC"/>
          <w:b w:val="0"/>
          <w:sz w:val="21"/>
        </w:rPr>
        <w:t>如果以“避免重大战斗损失”为标准，第一个低成本退出窗口是攻克开封后；但那样会放弃围歼区寿年兵团的巨大机会。若以“既保住主要战果，又避免后期高强度消耗”为标准，最后一个相对低成本窗口大约在7月2日区寿年兵团主要目标已经实现之后。此后继续迎击黄百韬，边际收益下降、边际风险快速上升。</w:t>
      </w:r>
    </w:p>
    <w:p>
      <w:pPr>
        <w:spacing w:after="80" w:line="324" w:lineRule="auto"/>
      </w:pPr>
      <w:r>
        <w:rPr>
          <w:rFonts w:ascii="Noto Serif CJK SC" w:hAnsi="Noto Serif CJK SC" w:eastAsia="Noto Serif CJK SC"/>
          <w:b w:val="0"/>
          <w:sz w:val="21"/>
        </w:rPr>
        <w:t>不过，不能以事后伤亡倒推“7月2日必然应该立即停战”。当时黄部位置、邱部推进速度、72师状态和华野剩余作战能力都存在不确定性。更准确的表述是：7月2—3日是“收益最大化”向“损失最小化”切换的临界区，而7月6日撤出说明指挥层最终完成了这一切换。</w:t>
      </w:r>
    </w:p>
    <w:p>
      <w:pPr>
        <w:pStyle w:val="Heading1"/>
        <w:keepNext/>
      </w:pPr>
      <w:r>
        <w:rPr>
          <w:rFonts w:ascii="Noto Sans CJK SC" w:hAnsi="Noto Sans CJK SC" w:eastAsia="Noto Sans CJK SC"/>
          <w:b/>
          <w:color w:val="1F4E79"/>
          <w:sz w:val="30"/>
        </w:rPr>
        <w:t>7. 国共双方指挥体系的结构性差异</w:t>
      </w:r>
    </w:p>
    <w:p>
      <w:pPr>
        <w:spacing w:after="80" w:line="324" w:lineRule="auto"/>
      </w:pPr>
      <w:r>
        <w:rPr>
          <w:rFonts w:ascii="Noto Serif CJK SC" w:hAnsi="Noto Serif CJK SC" w:eastAsia="Noto Serif CJK SC"/>
          <w:b w:val="0"/>
          <w:sz w:val="21"/>
        </w:rPr>
        <w:t>华野一侧的优势不是“信息永远更准确”，而是战役目标的层级更单一：核心指标是尽可能歼灭国军机动兵力，同时保存主力。城市、道路和具体攻击对象可以为这个目标服务，也可以被放弃。国民党一侧同时承担省会政治象征、陇海铁路交通、多个兵团安全、上级威信与战区防御等目标，因此更容易出现“每个局部目标都不能放”的资源拉扯。</w:t>
      </w:r>
    </w:p>
    <w:p>
      <w:pPr>
        <w:spacing w:after="80" w:line="324" w:lineRule="auto"/>
        <w:ind w:firstLine="420"/>
      </w:pPr>
      <w:r>
        <w:rPr>
          <w:rFonts w:ascii="Noto Serif CJK SC" w:hAnsi="Noto Serif CJK SC" w:eastAsia="Noto Serif CJK SC"/>
          <w:b w:val="0"/>
          <w:sz w:val="21"/>
        </w:rPr>
        <w:t>国史馆战时电报目录显示，国民党高层并非没有指挥与情报活动。真正的问题更像是“信息高度集中但决策目标过多”：南京需要根据不完整战报不断催促多个兵团；徐州要协调；各兵团又有保存自身力量的合理诉求。一个命令从上层看是全局最优，从局部兵团看可能意味着过高风险，于是行动速度、路线选择和协同意愿容易出现差异。[4][5][6]</w:t>
      </w:r>
    </w:p>
    <w:p>
      <w:pPr>
        <w:spacing w:after="80" w:line="324" w:lineRule="auto"/>
      </w:pPr>
      <w:r>
        <w:rPr>
          <w:rFonts w:ascii="Noto Serif CJK SC" w:hAnsi="Noto Serif CJK SC" w:eastAsia="Noto Serif CJK SC"/>
          <w:b w:val="0"/>
          <w:sz w:val="21"/>
        </w:rPr>
        <w:t>合理推断（D）：豫东战役的“系统性失控”不需要假设秘密串谋或单一内奸。只要同时存在信息延迟、兵团利益差异、政治性目标不可放弃、救援时间窗很短，就足以自然产生援军分批到达、局部被分割的结果。</w:t>
      </w:r>
    </w:p>
    <w:p>
      <w:pPr>
        <w:pStyle w:val="Heading1"/>
        <w:keepNext/>
      </w:pPr>
      <w:r>
        <w:rPr>
          <w:rFonts w:ascii="Noto Sans CJK SC" w:hAnsi="Noto Sans CJK SC" w:eastAsia="Noto Sans CJK SC"/>
          <w:b/>
          <w:color w:val="1F4E79"/>
          <w:sz w:val="30"/>
        </w:rPr>
        <w:t>8. 战果、损失与“胜负”争议</w:t>
      </w:r>
    </w:p>
    <w:p>
      <w:pPr>
        <w:pStyle w:val="Heading2"/>
        <w:keepNext/>
      </w:pPr>
      <w:r>
        <w:rPr>
          <w:rFonts w:ascii="Noto Sans CJK SC" w:hAnsi="Noto Sans CJK SC" w:eastAsia="Noto Sans CJK SC"/>
          <w:b/>
          <w:color w:val="373737"/>
          <w:sz w:val="25"/>
        </w:rPr>
        <w:t>8.1 为什么双方都能宣称胜利</w:t>
      </w:r>
    </w:p>
    <w:p>
      <w:pPr>
        <w:spacing w:after="80" w:line="324" w:lineRule="auto"/>
      </w:pPr>
      <w:r>
        <w:rPr>
          <w:rFonts w:ascii="Noto Serif CJK SC" w:hAnsi="Noto Serif CJK SC" w:eastAsia="Noto Serif CJK SC"/>
          <w:b w:val="0"/>
          <w:sz w:val="21"/>
        </w:rPr>
        <w:t>中共战史评价的单位是“整个战役及其对中原态势的影响”：攻克开封、歼灭区寿年兵团主力、打击黄百韬一部、牵动多路国军，战后继续保持主力与主动。国民党战后宣传更强调“重新控制开封”“黄百韬部未被歼并完成部分解围”“华野最终撤出”。只要评价对象不同，双方都可以从真实事件中选择对己有利的指标。</w:t>
      </w:r>
    </w:p>
    <w:p>
      <w:pPr>
        <w:spacing w:after="80" w:line="324" w:lineRule="auto"/>
        <w:ind w:firstLine="420"/>
      </w:pPr>
      <w:r>
        <w:rPr>
          <w:rFonts w:ascii="Noto Serif CJK SC" w:hAnsi="Noto Serif CJK SC" w:eastAsia="Noto Serif CJK SC"/>
          <w:b w:val="0"/>
          <w:sz w:val="21"/>
        </w:rPr>
        <w:t>因此，报告采用三层评价：战术/局部层面，黄百韬后期没有被全歼，国军获得可宣传的成功；战役层面，区寿年兵团被摧毁是国军无法回避的重大损失，华野实现主要歼敌目的；战略层面，中共中央战后更加坚定让粟裕兵团继续在长江以北作战，随后济南与淮海战役的准备空间扩大。综合三层，称“解放军取得重大但代价显著的战役胜利”比“完胜”更准确。[1][8][10]</w:t>
      </w:r>
    </w:p>
    <w:p>
      <w:pPr>
        <w:pStyle w:val="Heading2"/>
        <w:keepNext/>
      </w:pPr>
      <w:r>
        <w:rPr>
          <w:rFonts w:ascii="Noto Sans CJK SC" w:hAnsi="Noto Sans CJK SC" w:eastAsia="Noto Sans CJK SC"/>
          <w:b/>
          <w:color w:val="373737"/>
          <w:sz w:val="25"/>
        </w:rPr>
        <w:t>8.2 伤亡数字为什么必须降级处理</w:t>
      </w:r>
    </w:p>
    <w:p>
      <w:pPr>
        <w:spacing w:after="80" w:line="324" w:lineRule="auto"/>
      </w:pPr>
      <w:r>
        <w:rPr>
          <w:rFonts w:ascii="Noto Serif CJK SC" w:hAnsi="Noto Serif CJK SC" w:eastAsia="Noto Serif CJK SC"/>
          <w:b w:val="0"/>
          <w:sz w:val="21"/>
        </w:rPr>
        <w:t>中共官方资料常见“歼敌9万余”或“9.4万”的表述，但不同材料对“歼灭”是否包括毙伤俘、阻援方向战果、地方部队等口径并不完全一致。关于华野自身伤亡，后世综合资料常见约3.3万，但本次公开检索没有找到与战役阶段电报同等级的一手统计表。因此，本报告只把这些数字用作量级判断，不用小数点式精确数字制造虚假确定性。</w:t>
      </w:r>
    </w:p>
    <w:p>
      <w:pPr>
        <w:spacing w:after="80" w:line="324" w:lineRule="auto"/>
      </w:pPr>
      <w:r>
        <w:rPr>
          <w:rFonts w:ascii="Noto Serif CJK SC" w:hAnsi="Noto Serif CJK SC" w:eastAsia="Noto Serif CJK SC"/>
          <w:b w:val="0"/>
          <w:sz w:val="21"/>
        </w:rPr>
        <w:t>“损失比”也不能单独决定胜负。战役目标是削弱对手机动兵团、改变中原态势，而不是只比较伤亡人数；反过来，战略成功也不能抹去华野后期疲劳、减员和未能继续扩大战果的事实。两者必须同时写入。</w:t>
      </w:r>
    </w:p>
    <w:p>
      <w:pPr>
        <w:pStyle w:val="Heading1"/>
        <w:keepNext/>
      </w:pPr>
      <w:r>
        <w:rPr>
          <w:rFonts w:ascii="Noto Sans CJK SC" w:hAnsi="Noto Sans CJK SC" w:eastAsia="Noto Sans CJK SC"/>
          <w:b/>
          <w:color w:val="1F4E79"/>
          <w:sz w:val="30"/>
        </w:rPr>
        <w:t>9. 宣传叙事、声誉资本与战后评价</w:t>
      </w:r>
    </w:p>
    <w:p>
      <w:pPr>
        <w:spacing w:after="80" w:line="324" w:lineRule="auto"/>
      </w:pPr>
      <w:r>
        <w:rPr>
          <w:rFonts w:ascii="Noto Serif CJK SC" w:hAnsi="Noto Serif CJK SC" w:eastAsia="Noto Serif CJK SC"/>
          <w:b w:val="0"/>
          <w:sz w:val="21"/>
        </w:rPr>
        <w:t>开封是一座省会，天然具有高叙事价值。对中共而言，攻克开封证明野战军已经能够攻取重要城市；对国民党而言，尽快重新进入开封又能被包装为恢复秩序。因此，同一城市在几天内先后被双方用于证明不同叙事。开封的传播价值明显高于单纯军事地理价值。</w:t>
      </w:r>
    </w:p>
    <w:p>
      <w:pPr>
        <w:spacing w:after="80" w:line="324" w:lineRule="auto"/>
      </w:pPr>
      <w:r>
        <w:rPr>
          <w:rFonts w:ascii="Noto Serif CJK SC" w:hAnsi="Noto Serif CJK SC" w:eastAsia="Noto Serif CJK SC"/>
          <w:b w:val="0"/>
          <w:sz w:val="21"/>
        </w:rPr>
        <w:t>黄百韬获青天白日勋章，使国民党对后期作战的“成功叙事”获得制度化确认。台湾国防部人物资料至今仍使用“中原大捷”框架，这是一条清晰的官方记忆链。[8] 但这不能反向证明区寿年兵团损失不存在；恰恰说明战后叙事会选择不同计分板。</w:t>
      </w:r>
    </w:p>
    <w:p>
      <w:pPr>
        <w:spacing w:after="80" w:line="324" w:lineRule="auto"/>
        <w:ind w:firstLine="420"/>
      </w:pPr>
      <w:r>
        <w:rPr>
          <w:rFonts w:ascii="Noto Serif CJK SC" w:hAnsi="Noto Serif CJK SC" w:eastAsia="Noto Serif CJK SC"/>
          <w:b w:val="0"/>
          <w:sz w:val="21"/>
        </w:rPr>
        <w:t>蒋中正1948年日记在开封失守后出现强烈的内部反省。胡佛研究所引用其当年6月日记，称国民党失败的深层原因不在外敌而在内部“disintegration and rot”；国史馆也已公开1948年日记原本目录。这说明最高层并非只沉浸于“中原大捷”宣传，而同时意识到组织层面的严重问题。[9][17]</w:t>
      </w:r>
    </w:p>
    <w:p>
      <w:pPr>
        <w:pStyle w:val="Heading1"/>
        <w:keepNext/>
      </w:pPr>
      <w:r>
        <w:rPr>
          <w:rFonts w:ascii="Noto Sans CJK SC" w:hAnsi="Noto Sans CJK SC" w:eastAsia="Noto Sans CJK SC"/>
          <w:b/>
          <w:color w:val="1F4E79"/>
          <w:sz w:val="30"/>
        </w:rPr>
        <w:t>10. 三个结构相似案例：看粟裕指挥逻辑如何演化</w:t>
      </w:r>
    </w:p>
    <w:p>
      <w:pPr>
        <w:spacing w:after="80" w:line="324" w:lineRule="auto"/>
      </w:pPr>
      <w:r>
        <w:rPr>
          <w:rFonts w:ascii="Noto Serif CJK SC" w:hAnsi="Noto Serif CJK SC" w:eastAsia="Noto Serif CJK SC"/>
          <w:b w:val="0"/>
          <w:sz w:val="21"/>
        </w:rPr>
        <w:t>以下比较只讨论历史结构相似性，不把不同战役的行为性质、伤亡或责任简单等同。</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tblHeader w:val="true"/>
          <w:cantSplit/>
        </w:trPr>
        <w:tc>
          <w:tcPr>
            <w:tcW w:type="dxa" w:w="1361"/>
            <w:shd w:fill="D9EAF7"/>
            <w:tcMar>
              <w:top w:w="70" w:type="dxa"/>
              <w:start w:w="70" w:type="dxa"/>
              <w:bottom w:w="70" w:type="dxa"/>
              <w:end w:w="70" w:type="dxa"/>
            </w:tcMar>
            <w:vAlign w:val="center"/>
          </w:tcPr>
          <w:p>
            <w:pPr>
              <w:jc w:val="center"/>
            </w:pPr>
            <w:r>
              <w:rPr>
                <w:rFonts w:ascii="Noto Sans CJK SC" w:hAnsi="Noto Sans CJK SC" w:eastAsia="Noto Sans CJK SC"/>
                <w:b/>
                <w:sz w:val="16"/>
              </w:rPr>
              <w:t>案例</w:t>
            </w:r>
          </w:p>
        </w:tc>
        <w:tc>
          <w:tcPr>
            <w:tcW w:type="dxa" w:w="1984"/>
            <w:shd w:fill="D9EAF7"/>
            <w:tcMar>
              <w:top w:w="70" w:type="dxa"/>
              <w:start w:w="70" w:type="dxa"/>
              <w:bottom w:w="70" w:type="dxa"/>
              <w:end w:w="70" w:type="dxa"/>
            </w:tcMar>
            <w:vAlign w:val="center"/>
          </w:tcPr>
          <w:p>
            <w:pPr>
              <w:jc w:val="center"/>
            </w:pPr>
            <w:r>
              <w:rPr>
                <w:rFonts w:ascii="Noto Sans CJK SC" w:hAnsi="Noto Sans CJK SC" w:eastAsia="Noto Sans CJK SC"/>
                <w:b/>
                <w:sz w:val="16"/>
              </w:rPr>
              <w:t>初始结构</w:t>
            </w:r>
          </w:p>
        </w:tc>
        <w:tc>
          <w:tcPr>
            <w:tcW w:type="dxa" w:w="2098"/>
            <w:shd w:fill="D9EAF7"/>
            <w:tcMar>
              <w:top w:w="70" w:type="dxa"/>
              <w:start w:w="70" w:type="dxa"/>
              <w:bottom w:w="70" w:type="dxa"/>
              <w:end w:w="70" w:type="dxa"/>
            </w:tcMar>
            <w:vAlign w:val="center"/>
          </w:tcPr>
          <w:p>
            <w:pPr>
              <w:jc w:val="center"/>
            </w:pPr>
            <w:r>
              <w:rPr>
                <w:rFonts w:ascii="Noto Sans CJK SC" w:hAnsi="Noto Sans CJK SC" w:eastAsia="Noto Sans CJK SC"/>
                <w:b/>
                <w:sz w:val="16"/>
              </w:rPr>
              <w:t>核心选择</w:t>
            </w:r>
          </w:p>
        </w:tc>
        <w:tc>
          <w:tcPr>
            <w:tcW w:type="dxa" w:w="1984"/>
            <w:shd w:fill="D9EAF7"/>
            <w:tcMar>
              <w:top w:w="70" w:type="dxa"/>
              <w:start w:w="70" w:type="dxa"/>
              <w:bottom w:w="70" w:type="dxa"/>
              <w:end w:w="70" w:type="dxa"/>
            </w:tcMar>
            <w:vAlign w:val="center"/>
          </w:tcPr>
          <w:p>
            <w:pPr>
              <w:jc w:val="center"/>
            </w:pPr>
            <w:r>
              <w:rPr>
                <w:rFonts w:ascii="Noto Sans CJK SC" w:hAnsi="Noto Sans CJK SC" w:eastAsia="Noto Sans CJK SC"/>
                <w:b/>
                <w:sz w:val="16"/>
              </w:rPr>
              <w:t>相似点</w:t>
            </w:r>
          </w:p>
        </w:tc>
        <w:tc>
          <w:tcPr>
            <w:tcW w:type="dxa" w:w="2098"/>
            <w:shd w:fill="D9EAF7"/>
            <w:tcMar>
              <w:top w:w="70" w:type="dxa"/>
              <w:start w:w="70" w:type="dxa"/>
              <w:bottom w:w="70" w:type="dxa"/>
              <w:end w:w="70" w:type="dxa"/>
            </w:tcMar>
            <w:vAlign w:val="center"/>
          </w:tcPr>
          <w:p>
            <w:pPr>
              <w:jc w:val="center"/>
            </w:pPr>
            <w:r>
              <w:rPr>
                <w:rFonts w:ascii="Noto Sans CJK SC" w:hAnsi="Noto Sans CJK SC" w:eastAsia="Noto Sans CJK SC"/>
                <w:b/>
                <w:sz w:val="16"/>
              </w:rPr>
              <w:t>关键差异</w:t>
            </w:r>
          </w:p>
        </w:tc>
        <w:tc>
          <w:tcPr>
            <w:tcW w:type="dxa" w:w="2098"/>
            <w:shd w:fill="D9EAF7"/>
            <w:tcMar>
              <w:top w:w="70" w:type="dxa"/>
              <w:start w:w="70" w:type="dxa"/>
              <w:bottom w:w="70" w:type="dxa"/>
              <w:end w:w="70" w:type="dxa"/>
            </w:tcMar>
            <w:vAlign w:val="center"/>
          </w:tcPr>
          <w:p>
            <w:pPr>
              <w:jc w:val="center"/>
            </w:pPr>
            <w:r>
              <w:rPr>
                <w:rFonts w:ascii="Noto Sans CJK SC" w:hAnsi="Noto Sans CJK SC" w:eastAsia="Noto Sans CJK SC"/>
                <w:b/>
                <w:sz w:val="16"/>
              </w:rPr>
              <w:t>对豫东研究的意义</w:t>
            </w:r>
          </w:p>
        </w:tc>
      </w:tr>
      <w:tr>
        <w:trPr>
          <w:cantSplit/>
        </w:trPr>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莱芜战役（1947）</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国军南北对进、兵力分布存在可利用间隙</w:t>
            </w:r>
          </w:p>
        </w:tc>
        <w:tc>
          <w:tcPr>
            <w:tcW w:type="dxa" w:w="209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利用对手行动节奏变化集中打击北线集团</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信息与机动形成短时间局部优势</w:t>
            </w:r>
          </w:p>
        </w:tc>
        <w:tc>
          <w:tcPr>
            <w:tcW w:type="dxa" w:w="209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规模较小、没有省会攻城与多阶段转换</w:t>
            </w:r>
          </w:p>
        </w:tc>
        <w:tc>
          <w:tcPr>
            <w:tcW w:type="dxa" w:w="209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“等待对手暴露”经验明显</w:t>
            </w:r>
          </w:p>
        </w:tc>
      </w:tr>
      <w:tr>
        <w:trPr>
          <w:cantSplit/>
        </w:trPr>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孟良崮战役（1947）</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国军重兵密集推进，整74师突出</w:t>
            </w:r>
          </w:p>
        </w:tc>
        <w:tc>
          <w:tcPr>
            <w:tcW w:type="dxa" w:w="209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在多路援军附近选择孤立目标</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承受外围救援压力仍完成主要围歼</w:t>
            </w:r>
          </w:p>
        </w:tc>
        <w:tc>
          <w:tcPr>
            <w:tcW w:type="dxa" w:w="209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地形、目标规模和战役持续时间不同</w:t>
            </w:r>
          </w:p>
        </w:tc>
        <w:tc>
          <w:tcPr>
            <w:tcW w:type="dxa" w:w="209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强化“在强援附近也可局部集中”的信心</w:t>
            </w:r>
          </w:p>
        </w:tc>
      </w:tr>
      <w:tr>
        <w:trPr>
          <w:cantSplit/>
        </w:trPr>
        <w:tc>
          <w:tcPr>
            <w:tcW w:type="dxa" w:w="1361"/>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济南战役（1948）</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重要省会+可能大规模援军</w:t>
            </w:r>
          </w:p>
        </w:tc>
        <w:tc>
          <w:tcPr>
            <w:tcW w:type="dxa" w:w="209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明确预设攻城、打援及三种困难情形</w:t>
            </w:r>
          </w:p>
        </w:tc>
        <w:tc>
          <w:tcPr>
            <w:tcW w:type="dxa" w:w="198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中央电报要求预留强大预备力量、准备计划切换</w:t>
            </w:r>
          </w:p>
        </w:tc>
        <w:tc>
          <w:tcPr>
            <w:tcW w:type="dxa" w:w="209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比豫东更制度化、更强调预案与兵力比例</w:t>
            </w:r>
          </w:p>
        </w:tc>
        <w:tc>
          <w:tcPr>
            <w:tcW w:type="dxa" w:w="2098"/>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6"/>
              </w:rPr>
              <w:t>可视为豫东后对“攻城—打援”风险控制的成熟化</w:t>
            </w:r>
          </w:p>
        </w:tc>
      </w:tr>
    </w:tbl>
    <w:p>
      <w:pPr>
        <w:spacing w:after="40"/>
      </w:pPr>
    </w:p>
    <w:p>
      <w:pPr>
        <w:spacing w:after="80" w:line="324" w:lineRule="auto"/>
        <w:ind w:firstLine="420"/>
      </w:pPr>
      <w:r>
        <w:rPr>
          <w:rFonts w:ascii="Noto Serif CJK SC" w:hAnsi="Noto Serif CJK SC" w:eastAsia="Noto Serif CJK SC"/>
          <w:b w:val="0"/>
          <w:sz w:val="21"/>
        </w:rPr>
        <w:t>莱芜战役资料显示，国民党军曾计划南北对进，华野最终集中打击北线李仙洲集团；孟良崮则是在敌多路靠近情况下选择突出目标；济南战役最值得对照的是1948年8月26日军委电报明确要求预估三种情形，在援军接近而济南未克时，可以从“以攻城为主”切换为“以打援为主”。这种预案化思维，与豫东战役中的临机转换具有连续性，但济南时更制度化。[12][13][14][15]</w:t>
      </w:r>
    </w:p>
    <w:p>
      <w:pPr>
        <w:pStyle w:val="Heading1"/>
        <w:keepNext/>
      </w:pPr>
      <w:r>
        <w:rPr>
          <w:rFonts w:ascii="Noto Sans CJK SC" w:hAnsi="Noto Sans CJK SC" w:eastAsia="Noto Sans CJK SC"/>
          <w:b/>
          <w:color w:val="1F4E79"/>
          <w:sz w:val="30"/>
        </w:rPr>
        <w:t>11. 系统性根因与可迁移方法</w:t>
      </w:r>
    </w:p>
    <w:p>
      <w:pPr>
        <w:pStyle w:val="Heading2"/>
        <w:keepNext/>
      </w:pPr>
      <w:r>
        <w:rPr>
          <w:rFonts w:ascii="Noto Sans CJK SC" w:hAnsi="Noto Sans CJK SC" w:eastAsia="Noto Sans CJK SC"/>
          <w:b/>
          <w:color w:val="373737"/>
          <w:sz w:val="25"/>
        </w:rPr>
        <w:t>11.1 豫东战役的系统动力学</w:t>
      </w:r>
    </w:p>
    <w:p>
      <w:pPr>
        <w:spacing w:after="80" w:line="324" w:lineRule="auto"/>
      </w:pPr>
      <w:r>
        <w:rPr>
          <w:rFonts w:ascii="Noto Serif CJK SC" w:hAnsi="Noto Serif CJK SC" w:eastAsia="Noto Serif CJK SC"/>
          <w:b w:val="0"/>
          <w:sz w:val="21"/>
        </w:rPr>
        <w:t>可以把战役抽象为：战略集中 → 找不到理想目标 → 攻击高价值节点 → 迫使对手移动 → 援军分批进入 → 选择较孤立目标 → 获得重大局部成果 → 对手追加增援 → 边际收益下降、风险上升 → 及时结束战役。</w:t>
      </w:r>
    </w:p>
    <w:p>
      <w:pPr>
        <w:spacing w:after="80" w:line="324" w:lineRule="auto"/>
      </w:pPr>
      <w:r>
        <w:rPr>
          <w:rFonts w:ascii="Noto Serif CJK SC" w:hAnsi="Noto Serif CJK SC" w:eastAsia="Noto Serif CJK SC"/>
          <w:b w:val="0"/>
          <w:sz w:val="21"/>
        </w:rPr>
        <w:t>华野的正反馈来自“每次成功调动都会制造更多选择”；国民党方面的负反馈不足来自“越重要的节点受威胁，越需要追加力量，而追加力量又必须在不同时间从不同方向赶到”。当多路增援没有形成统一时间表时，救援本身会把更多兵力暴露给对手。</w:t>
      </w:r>
    </w:p>
    <w:p>
      <w:pPr>
        <w:pStyle w:val="Heading2"/>
        <w:keepNext/>
      </w:pPr>
      <w:r>
        <w:rPr>
          <w:rFonts w:ascii="Noto Sans CJK SC" w:hAnsi="Noto Sans CJK SC" w:eastAsia="Noto Sans CJK SC"/>
          <w:b/>
          <w:color w:val="373737"/>
          <w:sz w:val="25"/>
        </w:rPr>
        <w:t>11.2 可迁移的分析框架（适用于历史事件研究，不是现实作战指南）</w:t>
      </w:r>
    </w:p>
    <w:tbl>
      <w:tblPr>
        <w:tblStyle w:val="TableGrid"/>
        <w:tblW w:type="auto" w:w="0"/>
        <w:jc w:val="center"/>
        <w:tblLook w:firstColumn="1" w:firstRow="1" w:lastColumn="0" w:lastRow="0" w:noHBand="0" w:noVBand="1" w:val="04A0"/>
      </w:tblPr>
      <w:tblGrid>
        <w:gridCol w:w="3211"/>
        <w:gridCol w:w="3211"/>
        <w:gridCol w:w="3211"/>
      </w:tblGrid>
      <w:tr>
        <w:trPr>
          <w:tblHeader w:val="true"/>
          <w:cantSplit/>
        </w:trPr>
        <w:tc>
          <w:tcPr>
            <w:tcW w:type="dxa" w:w="1814"/>
            <w:shd w:fill="D9EAF7"/>
            <w:tcMar>
              <w:top w:w="70" w:type="dxa"/>
              <w:start w:w="70" w:type="dxa"/>
              <w:bottom w:w="70" w:type="dxa"/>
              <w:end w:w="70" w:type="dxa"/>
            </w:tcMar>
            <w:vAlign w:val="center"/>
          </w:tcPr>
          <w:p>
            <w:pPr>
              <w:jc w:val="center"/>
            </w:pPr>
            <w:r>
              <w:rPr>
                <w:rFonts w:ascii="Noto Sans CJK SC" w:hAnsi="Noto Sans CJK SC" w:eastAsia="Noto Sans CJK SC"/>
                <w:b/>
                <w:sz w:val="17"/>
              </w:rPr>
              <w:t>方法</w:t>
            </w:r>
          </w:p>
        </w:tc>
        <w:tc>
          <w:tcPr>
            <w:tcW w:type="dxa" w:w="4082"/>
            <w:shd w:fill="D9EAF7"/>
            <w:tcMar>
              <w:top w:w="70" w:type="dxa"/>
              <w:start w:w="70" w:type="dxa"/>
              <w:bottom w:w="70" w:type="dxa"/>
              <w:end w:w="70" w:type="dxa"/>
            </w:tcMar>
            <w:vAlign w:val="center"/>
          </w:tcPr>
          <w:p>
            <w:pPr>
              <w:jc w:val="center"/>
            </w:pPr>
            <w:r>
              <w:rPr>
                <w:rFonts w:ascii="Noto Sans CJK SC" w:hAnsi="Noto Sans CJK SC" w:eastAsia="Noto Sans CJK SC"/>
                <w:b/>
                <w:sz w:val="17"/>
              </w:rPr>
              <w:t>怎么用</w:t>
            </w:r>
          </w:p>
        </w:tc>
        <w:tc>
          <w:tcPr>
            <w:tcW w:type="dxa" w:w="4082"/>
            <w:shd w:fill="D9EAF7"/>
            <w:tcMar>
              <w:top w:w="70" w:type="dxa"/>
              <w:start w:w="70" w:type="dxa"/>
              <w:bottom w:w="70" w:type="dxa"/>
              <w:end w:w="70" w:type="dxa"/>
            </w:tcMar>
            <w:vAlign w:val="center"/>
          </w:tcPr>
          <w:p>
            <w:pPr>
              <w:jc w:val="center"/>
            </w:pPr>
            <w:r>
              <w:rPr>
                <w:rFonts w:ascii="Noto Sans CJK SC" w:hAnsi="Noto Sans CJK SC" w:eastAsia="Noto Sans CJK SC"/>
                <w:b/>
                <w:sz w:val="17"/>
              </w:rPr>
              <w:t>能避免什么误判</w:t>
            </w:r>
          </w:p>
        </w:tc>
      </w:tr>
      <w:tr>
        <w:trPr>
          <w:cantSplit/>
        </w:trPr>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目标层级</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先区分战略目标、战役目标、局部目标</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避免用“城市得失”替代“整体目的是否达成”</w:t>
            </w:r>
          </w:p>
        </w:tc>
      </w:tr>
      <w:tr>
        <w:trPr>
          <w:cantSplit/>
        </w:trPr>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动态信息集</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每个阶段分别问“当时知道什么”</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避免后见之明</w:t>
            </w:r>
          </w:p>
        </w:tc>
      </w:tr>
      <w:tr>
        <w:trPr>
          <w:cantSplit/>
        </w:trPr>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退出窗口</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重大阶段成果后重新计算继续投入的边际收益</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解释为什么“继续赢”也可能应该停止</w:t>
            </w:r>
          </w:p>
        </w:tc>
      </w:tr>
      <w:tr>
        <w:trPr>
          <w:cantSplit/>
        </w:trPr>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多方理性</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承认对手救城、救援、保存主力都各有合理性</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避免把失败简化为“愚蠢”</w:t>
            </w:r>
          </w:p>
        </w:tc>
      </w:tr>
      <w:tr>
        <w:trPr>
          <w:cantSplit/>
        </w:trPr>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证据谱系</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同体系多篇报道不能当多条独立证据</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尤其适合处理战史宣传数字</w:t>
            </w:r>
          </w:p>
        </w:tc>
      </w:tr>
      <w:tr>
        <w:trPr>
          <w:cantSplit/>
        </w:trPr>
        <w:tc>
          <w:tcPr>
            <w:tcW w:type="dxa" w:w="1814"/>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结果分层</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局部、战役、战略三个层级分别评估</w:t>
            </w:r>
          </w:p>
        </w:tc>
        <w:tc>
          <w:tcPr>
            <w:tcW w:type="dxa" w:w="4082"/>
            <w:tcMar>
              <w:top w:w="70" w:type="dxa"/>
              <w:start w:w="70" w:type="dxa"/>
              <w:bottom w:w="70" w:type="dxa"/>
              <w:end w:w="70" w:type="dxa"/>
            </w:tcMar>
            <w:vAlign w:val="center"/>
          </w:tcPr>
          <w:p>
            <w:pPr>
              <w:spacing w:after="0" w:line="259" w:lineRule="auto"/>
            </w:pPr>
            <w:r>
              <w:rPr>
                <w:rFonts w:ascii="Noto Serif CJK SC" w:hAnsi="Noto Serif CJK SC" w:eastAsia="Noto Serif CJK SC"/>
                <w:b w:val="0"/>
                <w:sz w:val="17"/>
              </w:rPr>
              <w:t>能解释“双方为何都能宣称胜利”</w:t>
            </w:r>
          </w:p>
        </w:tc>
      </w:tr>
    </w:tbl>
    <w:p>
      <w:pPr>
        <w:spacing w:after="40"/>
      </w:pPr>
    </w:p>
    <w:p>
      <w:pPr>
        <w:pStyle w:val="Heading1"/>
        <w:keepNext/>
      </w:pPr>
      <w:r>
        <w:rPr>
          <w:rFonts w:ascii="Noto Sans CJK SC" w:hAnsi="Noto Sans CJK SC" w:eastAsia="Noto Sans CJK SC"/>
          <w:b/>
          <w:color w:val="1F4E79"/>
          <w:sz w:val="30"/>
        </w:rPr>
        <w:t>12. 十三个核心问题回答</w:t>
      </w:r>
    </w:p>
    <w:p>
      <w:pPr>
        <w:keepLines/>
        <w:spacing w:after="100"/>
      </w:pPr>
      <w:r>
        <w:rPr>
          <w:rFonts w:ascii="Noto Sans CJK SC" w:hAnsi="Noto Sans CJK SC" w:eastAsia="Noto Sans CJK SC"/>
          <w:b/>
          <w:color w:val="1F4E79"/>
          <w:sz w:val="21"/>
        </w:rPr>
        <w:t>1. 最初的问题是什么？</w:t>
      </w:r>
      <w:r>
        <w:rPr>
          <w:rFonts w:ascii="Noto Serif CJK SC" w:hAnsi="Noto Serif CJK SC" w:eastAsia="Noto Serif CJK SC"/>
          <w:b w:val="0"/>
          <w:sz w:val="20"/>
        </w:rPr>
        <w:br/>
        <w:t>中央原计划部分华野主力渡江南进，但粟裕认为中原集中兵力有机会直接歼灭国军较大集团；核心问题是“分散牵制”与“集中歼灭”哪条路线在1948年更有效。</w:t>
      </w:r>
    </w:p>
    <w:p>
      <w:pPr>
        <w:keepLines/>
        <w:spacing w:after="100"/>
      </w:pPr>
      <w:r>
        <w:rPr>
          <w:rFonts w:ascii="Noto Sans CJK SC" w:hAnsi="Noto Sans CJK SC" w:eastAsia="Noto Sans CJK SC"/>
          <w:b/>
          <w:color w:val="1F4E79"/>
          <w:sz w:val="21"/>
        </w:rPr>
        <w:t>2. 哪个节点第一次改变事件性质？</w:t>
      </w:r>
      <w:r>
        <w:rPr>
          <w:rFonts w:ascii="Noto Serif CJK SC" w:hAnsi="Noto Serif CJK SC" w:eastAsia="Noto Serif CJK SC"/>
          <w:b w:val="0"/>
          <w:sz w:val="20"/>
        </w:rPr>
        <w:br/>
        <w:t>6月14日前后形成“先打开封，后歼援敌”方案。此时战役从“寻找第五军”变成“主动制造迫使国军移动的危机”。</w:t>
      </w:r>
    </w:p>
    <w:p>
      <w:pPr>
        <w:keepLines/>
        <w:spacing w:after="100"/>
      </w:pPr>
      <w:r>
        <w:rPr>
          <w:rFonts w:ascii="Noto Sans CJK SC" w:hAnsi="Noto Sans CJK SC" w:eastAsia="Noto Sans CJK SC"/>
          <w:b/>
          <w:color w:val="1F4E79"/>
          <w:sz w:val="21"/>
        </w:rPr>
        <w:t>3. 谁最早接近真相？</w:t>
      </w:r>
      <w:r>
        <w:rPr>
          <w:rFonts w:ascii="Noto Serif CJK SC" w:hAnsi="Noto Serif CJK SC" w:eastAsia="Noto Serif CJK SC"/>
          <w:b w:val="0"/>
          <w:sz w:val="20"/>
        </w:rPr>
        <w:br/>
        <w:t>不同真相对应不同人：华野前线最接近国军兵团间隙；区寿年最接近自身危局；南京最接近可调全国兵力。不存在单一“全知者”。</w:t>
      </w:r>
    </w:p>
    <w:p>
      <w:pPr>
        <w:keepLines/>
        <w:spacing w:after="100"/>
      </w:pPr>
      <w:r>
        <w:rPr>
          <w:rFonts w:ascii="Noto Sans CJK SC" w:hAnsi="Noto Sans CJK SC" w:eastAsia="Noto Sans CJK SC"/>
          <w:b/>
          <w:color w:val="1F4E79"/>
          <w:sz w:val="21"/>
        </w:rPr>
        <w:t>4. 谁最早有能力发现异常？</w:t>
      </w:r>
      <w:r>
        <w:rPr>
          <w:rFonts w:ascii="Noto Serif CJK SC" w:hAnsi="Noto Serif CJK SC" w:eastAsia="Noto Serif CJK SC"/>
          <w:b w:val="0"/>
          <w:sz w:val="20"/>
        </w:rPr>
        <w:br/>
        <w:t>华野指挥系统最早能发现邱、区两集团行动节奏和间距出现可利用变化；国军徐州体系也有位置情报，但需要同时满足多目标。</w:t>
      </w:r>
    </w:p>
    <w:p>
      <w:pPr>
        <w:keepLines/>
        <w:spacing w:after="100"/>
      </w:pPr>
      <w:r>
        <w:rPr>
          <w:rFonts w:ascii="Noto Sans CJK SC" w:hAnsi="Noto Sans CJK SC" w:eastAsia="Noto Sans CJK SC"/>
          <w:b/>
          <w:color w:val="1F4E79"/>
          <w:sz w:val="21"/>
        </w:rPr>
        <w:t>5. 谁最早有权力阻止扩大？</w:t>
      </w:r>
      <w:r>
        <w:rPr>
          <w:rFonts w:ascii="Noto Serif CJK SC" w:hAnsi="Noto Serif CJK SC" w:eastAsia="Noto Serif CJK SC"/>
          <w:b w:val="0"/>
          <w:sz w:val="20"/>
        </w:rPr>
        <w:br/>
        <w:t>国军方面南京/徐州最高指挥层有权改变援军优先级和集中方式；华野方面粟裕有权在攻克开封后结束或继续战役。</w:t>
      </w:r>
    </w:p>
    <w:p>
      <w:pPr>
        <w:keepLines/>
        <w:spacing w:after="100"/>
      </w:pPr>
      <w:r>
        <w:rPr>
          <w:rFonts w:ascii="Noto Sans CJK SC" w:hAnsi="Noto Sans CJK SC" w:eastAsia="Noto Sans CJK SC"/>
          <w:b/>
          <w:color w:val="1F4E79"/>
          <w:sz w:val="21"/>
        </w:rPr>
        <w:t>6. 谁获得最大早期收益？</w:t>
      </w:r>
      <w:r>
        <w:rPr>
          <w:rFonts w:ascii="Noto Serif CJK SC" w:hAnsi="Noto Serif CJK SC" w:eastAsia="Noto Serif CJK SC"/>
          <w:b w:val="0"/>
          <w:sz w:val="20"/>
        </w:rPr>
        <w:br/>
        <w:t>华野：开封攻克带来政治与军事双重收益，并成功迫使援军运动。</w:t>
      </w:r>
    </w:p>
    <w:p>
      <w:pPr>
        <w:keepLines/>
        <w:spacing w:after="100"/>
      </w:pPr>
      <w:r>
        <w:rPr>
          <w:rFonts w:ascii="Noto Sans CJK SC" w:hAnsi="Noto Sans CJK SC" w:eastAsia="Noto Sans CJK SC"/>
          <w:b/>
          <w:color w:val="1F4E79"/>
          <w:sz w:val="21"/>
        </w:rPr>
        <w:t>7. 谁承担最大最终损失？</w:t>
      </w:r>
      <w:r>
        <w:rPr>
          <w:rFonts w:ascii="Noto Serif CJK SC" w:hAnsi="Noto Serif CJK SC" w:eastAsia="Noto Serif CJK SC"/>
          <w:b w:val="0"/>
          <w:sz w:val="20"/>
        </w:rPr>
        <w:br/>
        <w:t>区寿年兵团及被歼整编部队承担最直接组织损失；从制度层面，国军中原机动防御体系和指挥信誉受损。</w:t>
      </w:r>
    </w:p>
    <w:p>
      <w:pPr>
        <w:keepLines/>
        <w:spacing w:after="100"/>
      </w:pPr>
      <w:r>
        <w:rPr>
          <w:rFonts w:ascii="Noto Sans CJK SC" w:hAnsi="Noto Sans CJK SC" w:eastAsia="Noto Sans CJK SC"/>
          <w:b/>
          <w:color w:val="1F4E79"/>
          <w:sz w:val="21"/>
        </w:rPr>
        <w:t>8. 是否发生信息级联和承诺升级？</w:t>
      </w:r>
      <w:r>
        <w:rPr>
          <w:rFonts w:ascii="Noto Serif CJK SC" w:hAnsi="Noto Serif CJK SC" w:eastAsia="Noto Serif CJK SC"/>
          <w:b w:val="0"/>
          <w:sz w:val="20"/>
        </w:rPr>
        <w:br/>
        <w:t>存在战时宣传叙事的级联；国民党在开封失守后必须迅速“收复”、追加救援，政治承诺提高了行动约束。华野后期也面临继续扩大战果的诱因，但最终选择撤出，说明承诺升级没有无限持续。</w:t>
      </w:r>
    </w:p>
    <w:p>
      <w:pPr>
        <w:keepLines/>
        <w:spacing w:after="100"/>
      </w:pPr>
      <w:r>
        <w:rPr>
          <w:rFonts w:ascii="Noto Sans CJK SC" w:hAnsi="Noto Sans CJK SC" w:eastAsia="Noto Sans CJK SC"/>
          <w:b/>
          <w:color w:val="1F4E79"/>
          <w:sz w:val="21"/>
        </w:rPr>
        <w:t>9. 最后一个低成本退出窗口在哪里？</w:t>
      </w:r>
      <w:r>
        <w:rPr>
          <w:rFonts w:ascii="Noto Serif CJK SC" w:hAnsi="Noto Serif CJK SC" w:eastAsia="Noto Serif CJK SC"/>
          <w:b w:val="0"/>
          <w:sz w:val="20"/>
        </w:rPr>
        <w:br/>
        <w:t>约在7月2日区寿年兵团主要目标达成之后；7月2—3日是继续扩大战果与及时收束之间的临界区。</w:t>
      </w:r>
    </w:p>
    <w:p>
      <w:pPr>
        <w:keepLines/>
        <w:spacing w:after="100"/>
      </w:pPr>
      <w:r>
        <w:rPr>
          <w:rFonts w:ascii="Noto Sans CJK SC" w:hAnsi="Noto Sans CJK SC" w:eastAsia="Noto Sans CJK SC"/>
          <w:b/>
          <w:color w:val="1F4E79"/>
          <w:sz w:val="21"/>
        </w:rPr>
        <w:t>10. 为什么局部理性形成系统性非理性？</w:t>
      </w:r>
      <w:r>
        <w:rPr>
          <w:rFonts w:ascii="Noto Serif CJK SC" w:hAnsi="Noto Serif CJK SC" w:eastAsia="Noto Serif CJK SC"/>
          <w:b w:val="0"/>
          <w:sz w:val="20"/>
        </w:rPr>
        <w:br/>
        <w:t>每个国军兵团都要兼顾自身安全、救援友军与上级命令；南京又必须保省会和交通。多个合理目标叠加，造成兵力分批、节奏不一，最终让对手逐次选择目标。</w:t>
      </w:r>
    </w:p>
    <w:p>
      <w:pPr>
        <w:keepLines/>
        <w:spacing w:after="100"/>
      </w:pPr>
      <w:r>
        <w:rPr>
          <w:rFonts w:ascii="Noto Sans CJK SC" w:hAnsi="Noto Sans CJK SC" w:eastAsia="Noto Sans CJK SC"/>
          <w:b/>
          <w:color w:val="1F4E79"/>
          <w:sz w:val="21"/>
        </w:rPr>
        <w:t>11. 即使没有秘密串谋，结果能否自然产生？</w:t>
      </w:r>
      <w:r>
        <w:rPr>
          <w:rFonts w:ascii="Noto Serif CJK SC" w:hAnsi="Noto Serif CJK SC" w:eastAsia="Noto Serif CJK SC"/>
          <w:b w:val="0"/>
          <w:sz w:val="20"/>
        </w:rPr>
        <w:br/>
        <w:t>可以。信息延迟、组织层级、兵团利益差异和政治目标本身就足以产生协同失配，无需假设秘密操纵。</w:t>
      </w:r>
    </w:p>
    <w:p>
      <w:pPr>
        <w:keepLines/>
        <w:spacing w:after="100"/>
      </w:pPr>
      <w:r>
        <w:rPr>
          <w:rFonts w:ascii="Noto Sans CJK SC" w:hAnsi="Noto Sans CJK SC" w:eastAsia="Noto Sans CJK SC"/>
          <w:b/>
          <w:color w:val="1F4E79"/>
          <w:sz w:val="21"/>
        </w:rPr>
        <w:t>12. 为什么验证与纠错机制会失效或变慢？</w:t>
      </w:r>
      <w:r>
        <w:rPr>
          <w:rFonts w:ascii="Noto Serif CJK SC" w:hAnsi="Noto Serif CJK SC" w:eastAsia="Noto Serif CJK SC"/>
          <w:b w:val="0"/>
          <w:sz w:val="20"/>
        </w:rPr>
        <w:br/>
        <w:t>战时信息本就滞后；上报有过滤；最高层目标多；一旦省会失守，政治时间表压缩，留给复核和重新部署的时间更少。</w:t>
      </w:r>
    </w:p>
    <w:p>
      <w:pPr>
        <w:keepLines/>
        <w:spacing w:after="100"/>
      </w:pPr>
      <w:r>
        <w:rPr>
          <w:rFonts w:ascii="Noto Sans CJK SC" w:hAnsi="Noto Sans CJK SC" w:eastAsia="Noto Sans CJK SC"/>
          <w:b/>
          <w:color w:val="1F4E79"/>
          <w:sz w:val="21"/>
        </w:rPr>
        <w:t>13. 哪项制度改革最能降低类似指挥失配？</w:t>
      </w:r>
      <w:r>
        <w:rPr>
          <w:rFonts w:ascii="Noto Serif CJK SC" w:hAnsi="Noto Serif CJK SC" w:eastAsia="Noto Serif CJK SC"/>
          <w:b w:val="0"/>
          <w:sz w:val="20"/>
        </w:rPr>
        <w:br/>
        <w:t>就历史组织分析而言，最关键的是建立统一实时态势、明确单一战役优先级，并让前线指挥在出现新信息时拥有可逆转计划的授权；同时用预案而非临时催促管理多路增援。</w:t>
      </w:r>
    </w:p>
    <w:p>
      <w:pPr>
        <w:pStyle w:val="Heading1"/>
        <w:keepNext/>
      </w:pPr>
      <w:r>
        <w:rPr>
          <w:rFonts w:ascii="Noto Sans CJK SC" w:hAnsi="Noto Sans CJK SC" w:eastAsia="Noto Sans CJK SC"/>
          <w:b/>
          <w:color w:val="1F4E79"/>
          <w:sz w:val="30"/>
        </w:rPr>
        <w:t>结论：如何理解粟裕在豫东战役中的“阶段性决策”</w:t>
      </w:r>
    </w:p>
    <w:p>
      <w:pPr>
        <w:spacing w:after="80" w:line="324" w:lineRule="auto"/>
      </w:pPr>
      <w:r>
        <w:rPr>
          <w:rFonts w:ascii="Noto Serif CJK SC" w:hAnsi="Noto Serif CJK SC" w:eastAsia="Noto Serif CJK SC"/>
          <w:b w:val="0"/>
          <w:sz w:val="21"/>
        </w:rPr>
        <w:t>如果只记三个结果——“攻开放、歼区寿年、战黄百韬”——很容易把豫东战役写成一套事先设计好的连环计。多信源材料显示更真实的情况是：计划至少数次改变，对手也不断改变行动；粟裕的突出之处并非预见所有细节，而是能在新信息出现时放弃已经投入的旧方案，把同一支主力重新配置到新的高收益目标上。</w:t>
      </w:r>
    </w:p>
    <w:p>
      <w:pPr>
        <w:spacing w:after="80" w:line="324" w:lineRule="auto"/>
      </w:pPr>
      <w:r>
        <w:rPr>
          <w:rFonts w:ascii="Noto Serif CJK SC" w:hAnsi="Noto Serif CJK SC" w:eastAsia="Noto Serif CJK SC"/>
          <w:b w:val="0"/>
          <w:sz w:val="21"/>
        </w:rPr>
        <w:t>这也解释了为什么“主动放弃开封”比“攻下开封”更能体现指挥逻辑：前者证明城市不是必须守住的声誉资产，而是可以服务于更高层目标的工具。同样，7月6日撤出也说明战役目标不是无限扩大；当国军多路增援和华野疲劳使边际风险超过边际收益时，结束战役本身就是决策的一部分。</w:t>
      </w:r>
    </w:p>
    <w:p>
      <w:pPr>
        <w:spacing w:after="80" w:line="324" w:lineRule="auto"/>
      </w:pPr>
      <w:r>
        <w:rPr>
          <w:rFonts w:ascii="Noto Serif CJK SC" w:hAnsi="Noto Serif CJK SC" w:eastAsia="Noto Serif CJK SC"/>
          <w:b w:val="0"/>
          <w:sz w:val="21"/>
        </w:rPr>
        <w:t>因此，豫东战役最可迁移的方法论不是某种具体战法，而是事件分析方法：把每个阶段的参与者、信息、目标、权限、可选行动和退出成本重新计算。这样既能避免“粟裕神机妙算、一步不差”的英雄叙事，也能避免“国民党将领全都愚蠢”的简单化叙事，更接近真实历史中由有限信息和组织约束共同塑造的决策过程。</w:t>
      </w:r>
    </w:p>
    <w:p>
      <w:pPr>
        <w:pStyle w:val="Heading1"/>
        <w:keepNext/>
      </w:pPr>
      <w:r>
        <w:rPr>
          <w:rFonts w:ascii="Noto Sans CJK SC" w:hAnsi="Noto Sans CJK SC" w:eastAsia="Noto Sans CJK SC"/>
          <w:b/>
          <w:color w:val="1F4E79"/>
          <w:sz w:val="30"/>
        </w:rPr>
        <w:t>参考资料与来源说明</w:t>
      </w:r>
    </w:p>
    <w:p>
      <w:pPr>
        <w:spacing w:after="60" w:line="288" w:lineRule="auto"/>
      </w:pPr>
      <w:r>
        <w:rPr>
          <w:rFonts w:ascii="Noto Serif CJK SC" w:hAnsi="Noto Serif CJK SC" w:eastAsia="Noto Serif CJK SC"/>
          <w:b w:val="0"/>
          <w:sz w:val="18"/>
        </w:rPr>
        <w:t>[1] 中国共产党新闻网：《豫东战役》。“重大事件”资料页。用于核对战役时间、三阶段基本经过、官方战果与战后中央指示。</w:t>
      </w:r>
    </w:p>
    <w:p>
      <w:pPr>
        <w:spacing w:after="60" w:line="288" w:lineRule="auto"/>
      </w:pPr>
      <w:r>
        <w:rPr>
          <w:rFonts w:ascii="Noto Serif CJK SC" w:hAnsi="Noto Serif CJK SC" w:eastAsia="Noto Serif CJK SC"/>
          <w:b w:val="0"/>
          <w:sz w:val="18"/>
        </w:rPr>
        <w:t>[2] 中共中央党史和文献研究院：《解放战争时期南渡长江计划的提出与演变》（2018/2019年网页版本）。文中引《毛泽东年谱》《粟裕年谱》《粟裕战争回忆录》《毛泽东军事文集》等，重点用于战略前奏。</w:t>
      </w:r>
    </w:p>
    <w:p>
      <w:pPr>
        <w:spacing w:after="60" w:line="288" w:lineRule="auto"/>
      </w:pPr>
      <w:r>
        <w:rPr>
          <w:rFonts w:ascii="Noto Serif CJK SC" w:hAnsi="Noto Serif CJK SC" w:eastAsia="Noto Serif CJK SC"/>
          <w:b w:val="0"/>
          <w:sz w:val="18"/>
        </w:rPr>
        <w:t>[3] 中国军网/中国国防报，薛闫兴：《豫东战役：粉碎蒋军“肃清中原”的呓语》，2022-01-06。用于“四易方案”、开封—睢杞阶段与战役转换。</w:t>
      </w:r>
    </w:p>
    <w:p>
      <w:pPr>
        <w:spacing w:after="60" w:line="288" w:lineRule="auto"/>
      </w:pPr>
      <w:r>
        <w:rPr>
          <w:rFonts w:ascii="Noto Serif CJK SC" w:hAnsi="Noto Serif CJK SC" w:eastAsia="Noto Serif CJK SC"/>
          <w:b w:val="0"/>
          <w:sz w:val="18"/>
        </w:rPr>
        <w:t>[4] 国史馆“蒋中正总统文物”档案目录，卷/件检索号 002000001815A，1948-06-18，内容摘要含“蒋中正电区寿年转沈澄年余锦源……各路援军赶达会师”。用于确认开封战事后国军最高层直接督援。</w:t>
      </w:r>
    </w:p>
    <w:p>
      <w:pPr>
        <w:spacing w:after="60" w:line="288" w:lineRule="auto"/>
      </w:pPr>
      <w:r>
        <w:rPr>
          <w:rFonts w:ascii="Noto Serif CJK SC" w:hAnsi="Noto Serif CJK SC" w:eastAsia="Noto Serif CJK SC"/>
          <w:b w:val="0"/>
          <w:sz w:val="18"/>
        </w:rPr>
        <w:t>[5] 国史馆“蒋中正总统文物”档案目录，卷号 002000002440A，1948-06-30—1948-07-12，含周碞转区寿年战况电报摘要。用于从国民党一侧确认区兵团受围与阵地被突破。</w:t>
      </w:r>
    </w:p>
    <w:p>
      <w:pPr>
        <w:spacing w:after="60" w:line="288" w:lineRule="auto"/>
      </w:pPr>
      <w:r>
        <w:rPr>
          <w:rFonts w:ascii="Noto Serif CJK SC" w:hAnsi="Noto Serif CJK SC" w:eastAsia="Noto Serif CJK SC"/>
          <w:b w:val="0"/>
          <w:sz w:val="18"/>
        </w:rPr>
        <w:t>[6] 国史馆“蒋中正总统文物”档案目录，卷号 002000002451A，含邱清泉致蒋中正关于区寿年统率第75、第72师等行动的电报摘要。用于国军兵团关系与协同背景。</w:t>
      </w:r>
    </w:p>
    <w:p>
      <w:pPr>
        <w:spacing w:after="60" w:line="288" w:lineRule="auto"/>
      </w:pPr>
      <w:r>
        <w:rPr>
          <w:rFonts w:ascii="Noto Serif CJK SC" w:hAnsi="Noto Serif CJK SC" w:eastAsia="Noto Serif CJK SC"/>
          <w:b w:val="0"/>
          <w:sz w:val="18"/>
        </w:rPr>
        <w:t>[7] 孙建中：《国民革命军陆军第五军军史》，台湾“国防部”政务办公室/史政编译体系，2022。用于国军第五军自身战史视角与书目交叉验证。</w:t>
      </w:r>
    </w:p>
    <w:p>
      <w:pPr>
        <w:spacing w:after="60" w:line="288" w:lineRule="auto"/>
      </w:pPr>
      <w:r>
        <w:rPr>
          <w:rFonts w:ascii="Noto Serif CJK SC" w:hAnsi="Noto Serif CJK SC" w:eastAsia="Noto Serif CJK SC"/>
          <w:b w:val="0"/>
          <w:sz w:val="18"/>
        </w:rPr>
        <w:t>[8] 台湾“国防部”国民革命忠烈祠：〈黄百韬烈士〉，资料来源标注《中华战史大辞典—人物之部》（史政编译局）。用于确认国军官方“中原大捷”叙事与青天白日勋章。</w:t>
      </w:r>
    </w:p>
    <w:p>
      <w:pPr>
        <w:spacing w:after="60" w:line="288" w:lineRule="auto"/>
      </w:pPr>
      <w:r>
        <w:rPr>
          <w:rFonts w:ascii="Noto Serif CJK SC" w:hAnsi="Noto Serif CJK SC" w:eastAsia="Noto Serif CJK SC"/>
          <w:b w:val="0"/>
          <w:sz w:val="18"/>
        </w:rPr>
        <w:t>[9] Hoover Institution：〈Chiang Kai-shek and the Struggle for China〉。引用蒋1948年6月日记关于国民党内部“disintegration and rot”的反省。</w:t>
      </w:r>
    </w:p>
    <w:p>
      <w:pPr>
        <w:spacing w:after="60" w:line="288" w:lineRule="auto"/>
      </w:pPr>
      <w:r>
        <w:rPr>
          <w:rFonts w:ascii="Noto Serif CJK SC" w:hAnsi="Noto Serif CJK SC" w:eastAsia="Noto Serif CJK SC"/>
          <w:b w:val="0"/>
          <w:sz w:val="18"/>
        </w:rPr>
        <w:t>[10] Gary J. Bjorge, Operational Art in the Chinese PLA’s Huai Hai Campaign, U.S. Army Combat Studies Institute / Army University Press. 用于英文专业研究视角：粟裕1月建议、城南庄决定、豫东—济南—淮海之间的战略连续性。</w:t>
      </w:r>
    </w:p>
    <w:p>
      <w:pPr>
        <w:spacing w:after="60" w:line="288" w:lineRule="auto"/>
      </w:pPr>
      <w:r>
        <w:rPr>
          <w:rFonts w:ascii="Noto Serif CJK SC" w:hAnsi="Noto Serif CJK SC" w:eastAsia="Noto Serif CJK SC"/>
          <w:b w:val="0"/>
          <w:sz w:val="18"/>
        </w:rPr>
        <w:t>[11] 中国共产党新闻网：《中国共产党大事记·1948年》。用于核对城南庄会议对暂不渡江、集中中原作战的概括。</w:t>
      </w:r>
    </w:p>
    <w:p>
      <w:pPr>
        <w:spacing w:after="60" w:line="288" w:lineRule="auto"/>
      </w:pPr>
      <w:r>
        <w:rPr>
          <w:rFonts w:ascii="Noto Serif CJK SC" w:hAnsi="Noto Serif CJK SC" w:eastAsia="Noto Serif CJK SC"/>
          <w:b w:val="0"/>
          <w:sz w:val="18"/>
        </w:rPr>
        <w:t>[12] 中国共产党新闻网：《莱芜战役》及《中国共产党大事记·1947年》。用于结构相似案例。</w:t>
      </w:r>
    </w:p>
    <w:p>
      <w:pPr>
        <w:spacing w:after="60" w:line="288" w:lineRule="auto"/>
      </w:pPr>
      <w:r>
        <w:rPr>
          <w:rFonts w:ascii="Noto Serif CJK SC" w:hAnsi="Noto Serif CJK SC" w:eastAsia="Noto Serif CJK SC"/>
          <w:b w:val="0"/>
          <w:sz w:val="18"/>
        </w:rPr>
        <w:t>[13] 中国军网：《“百万军中取上将首级”：孟良崮战役》，2021。用于结构相似案例。</w:t>
      </w:r>
    </w:p>
    <w:p>
      <w:pPr>
        <w:spacing w:after="60" w:line="288" w:lineRule="auto"/>
      </w:pPr>
      <w:r>
        <w:rPr>
          <w:rFonts w:ascii="Noto Serif CJK SC" w:hAnsi="Noto Serif CJK SC" w:eastAsia="Noto Serif CJK SC"/>
          <w:b w:val="0"/>
          <w:sz w:val="18"/>
        </w:rPr>
        <w:t>[14] 中国共产党新闻网：《济南战役始末》，2023。用于“攻济打援”组织结构。</w:t>
      </w:r>
    </w:p>
    <w:p>
      <w:pPr>
        <w:spacing w:after="60" w:line="288" w:lineRule="auto"/>
      </w:pPr>
      <w:r>
        <w:rPr>
          <w:rFonts w:ascii="Noto Serif CJK SC" w:hAnsi="Noto Serif CJK SC" w:eastAsia="Noto Serif CJK SC"/>
          <w:b w:val="0"/>
          <w:sz w:val="18"/>
        </w:rPr>
        <w:t>[15] 中国共产党新闻网：《〈济南作战应准备在最困难的情况下战胜敌人〉电报手稿》，2024。用于核对中央军委在济南战役前明确列出的三种情形与预案化思维。</w:t>
      </w:r>
    </w:p>
    <w:p>
      <w:pPr>
        <w:spacing w:after="60" w:line="288" w:lineRule="auto"/>
      </w:pPr>
      <w:r>
        <w:rPr>
          <w:rFonts w:ascii="Noto Serif CJK SC" w:hAnsi="Noto Serif CJK SC" w:eastAsia="Noto Serif CJK SC"/>
          <w:b w:val="0"/>
          <w:sz w:val="18"/>
        </w:rPr>
        <w:t>[16] 中共开封市委党史办公室、中共商丘地委党史办公室编：《豫东战役》，河南人民出版社，1988。Google Books可核对书目信息；本报告未将无法在线核对的具体页码作为独立事实依据。</w:t>
      </w:r>
    </w:p>
    <w:p>
      <w:pPr>
        <w:spacing w:after="60" w:line="288" w:lineRule="auto"/>
      </w:pPr>
      <w:r>
        <w:rPr>
          <w:rFonts w:ascii="Noto Serif CJK SC" w:hAnsi="Noto Serif CJK SC" w:eastAsia="Noto Serif CJK SC"/>
          <w:b w:val="0"/>
          <w:sz w:val="18"/>
        </w:rPr>
        <w:t>[17] 《蒋中正日记：1948》，2023年整理出版；国史馆在线档案目录已公开1948年日记原本相关件。用于战后最高层反省与资料权威性说明。</w:t>
      </w:r>
    </w:p>
    <w:p>
      <w:pPr>
        <w:pStyle w:val="Heading2"/>
        <w:keepNext/>
      </w:pPr>
      <w:r>
        <w:rPr>
          <w:rFonts w:ascii="Noto Sans CJK SC" w:hAnsi="Noto Sans CJK SC" w:eastAsia="Noto Sans CJK SC"/>
          <w:b/>
          <w:color w:val="373737"/>
          <w:sz w:val="25"/>
        </w:rPr>
        <w:t>证据缺口</w:t>
      </w:r>
    </w:p>
    <w:p>
      <w:pPr>
        <w:pStyle w:val="ListBullet"/>
        <w:spacing w:after="40" w:line="300" w:lineRule="auto"/>
      </w:pPr>
      <w:r>
        <w:rPr>
          <w:rFonts w:ascii="Noto Serif CJK SC" w:hAnsi="Noto Serif CJK SC" w:eastAsia="Noto Serif CJK SC"/>
          <w:b w:val="0"/>
          <w:sz w:val="20"/>
        </w:rPr>
        <w:t>本次公开互联网检索未取得双方完整的逐日战斗详报、完整伤亡登记表和所有兵团原始命令，因此对“3.3万伤亡”“20万对25万”等常见数字降为C级。</w:t>
      </w:r>
    </w:p>
    <w:p>
      <w:pPr>
        <w:pStyle w:val="ListBullet"/>
        <w:spacing w:after="40" w:line="300" w:lineRule="auto"/>
      </w:pPr>
      <w:r>
        <w:rPr>
          <w:rFonts w:ascii="Noto Serif CJK SC" w:hAnsi="Noto Serif CJK SC" w:eastAsia="Noto Serif CJK SC"/>
          <w:b w:val="0"/>
          <w:sz w:val="20"/>
        </w:rPr>
        <w:t>国史馆网页检索可确认若干电报的日期、发受者和内容摘要，但部分页面存在跳转限制，未在本次环境中逐张查看原件影像；因此只引用目录摘要明确支持的事实。</w:t>
      </w:r>
    </w:p>
    <w:p>
      <w:pPr>
        <w:pStyle w:val="ListBullet"/>
        <w:spacing w:after="40" w:line="300" w:lineRule="auto"/>
      </w:pPr>
      <w:r>
        <w:rPr>
          <w:rFonts w:ascii="Noto Serif CJK SC" w:hAnsi="Noto Serif CJK SC" w:eastAsia="Noto Serif CJK SC"/>
          <w:b w:val="0"/>
          <w:sz w:val="20"/>
        </w:rPr>
        <w:t>关于“国军内部潜伏人员是否直接决定区寿年部署”的流行说法，现有公开证据不足以支撑强因果，本文不作为核心解释。</w:t>
      </w:r>
    </w:p>
    <w:p>
      <w:pPr>
        <w:pStyle w:val="ListBullet"/>
        <w:spacing w:after="40" w:line="300" w:lineRule="auto"/>
      </w:pPr>
      <w:r>
        <w:rPr>
          <w:rFonts w:ascii="Noto Serif CJK SC" w:hAnsi="Noto Serif CJK SC" w:eastAsia="Noto Serif CJK SC"/>
          <w:b w:val="0"/>
          <w:sz w:val="20"/>
        </w:rPr>
        <w:t>关于开封战斗起始日，部分旧党史资料写“6月18日—22日”，军报和多数现代官方资料写“6月17日—22日”。更可能是外关战斗/战役正式统计口径不同；本文以6月17日作为总起点并保留差异说明。</w:t>
      </w:r>
    </w:p>
    <w:p>
      <w:pPr>
        <w:spacing w:before="280"/>
        <w:jc w:val="center"/>
      </w:pPr>
      <w:r>
        <w:rPr>
          <w:rFonts w:ascii="Noto Sans CJK SC" w:hAnsi="Noto Sans CJK SC" w:eastAsia="Noto Sans CJK SC"/>
          <w:b/>
          <w:color w:val="787878"/>
          <w:sz w:val="20"/>
        </w:rPr>
        <w:t>—— 完 ——</w:t>
      </w:r>
    </w:p>
    <w:sectPr w:rsidR="00FC693F" w:rsidRPr="0006063C" w:rsidSect="00034616">
      <w:headerReference w:type="default" r:id="rId9"/>
      <w:footerReference w:type="default" r:id="rId10"/>
      <w:pgSz w:w="12240" w:h="15840"/>
      <w:pgMar w:top="1304" w:right="1247"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b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color w:val="6E6E6E"/>
        <w:sz w:val="17"/>
      </w:rPr>
      <w:t>事件分析｜历史战役多信源研究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粟裕与豫东战役：各阶段多信源调查、证据分层与决策演化分析</dc:title>
  <dc:subject>1948年豫东战役历史研究</dc:subject>
  <dc:creator>OpenAI</dc:creator>
  <cp:keywords>粟裕, 豫东战役, 开封战役, 睢杞战役, 历史研究, 多信源</cp:keywords>
  <dc:description>generated by python-docx</dc:description>
  <cp:lastModifiedBy/>
  <cp:revision>1</cp:revision>
  <dcterms:created xsi:type="dcterms:W3CDTF">2013-12-23T23:15:00Z</dcterms:created>
  <dcterms:modified xsi:type="dcterms:W3CDTF">2013-12-23T23:15:00Z</dcterms:modified>
  <cp:category/>
</cp:coreProperties>
</file>