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4"/>
        </w:rPr>
        <w:t>朱镕基改革的“双重遗产”</w:t>
      </w:r>
    </w:p>
    <w:p>
      <w:pPr>
        <w:jc w:val="center"/>
      </w:pPr>
      <w:r>
        <w:rPr>
          <w:rFonts w:ascii="Noto Sans CJK SC" w:hAnsi="Noto Sans CJK SC" w:eastAsia="Noto Sans CJK SC"/>
          <w:sz w:val="22"/>
        </w:rPr>
        <w:t>Reuters Breakingviews《Zhu Rongji’s unbalanced reforms still haunt China》中文深度摘要与研究性重构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7F7F7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版权说明：本文是基于Reuters Breakingviews原文制作的中文深度摘要、结构重构与研究性分析，不是逐句全文翻译；未复现大段受版权保护的原文。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DEDE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原文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Zhu Rongji’s unbalanced reforms still haunt China</w:t>
            </w:r>
          </w:p>
        </w:tc>
      </w:tr>
      <w:tr>
        <w:tc>
          <w:tcPr>
            <w:tcW w:type="dxa" w:w="4929"/>
            <w:shd w:fill="EDEDE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作者/栏目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Reuters Breakingviews</w:t>
            </w:r>
          </w:p>
        </w:tc>
      </w:tr>
      <w:tr>
        <w:tc>
          <w:tcPr>
            <w:tcW w:type="dxa" w:w="4929"/>
            <w:shd w:fill="EDEDE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发布日期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2026-08-13</w:t>
            </w:r>
          </w:p>
        </w:tc>
      </w:tr>
      <w:tr>
        <w:tc>
          <w:tcPr>
            <w:tcW w:type="dxa" w:w="4929"/>
            <w:shd w:fill="EDEDE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Breakingviews属于Reuters评论栏目，观点归作者；文中事实与评论需分层阅读。</w:t>
            </w:r>
          </w:p>
        </w:tc>
      </w:tr>
    </w:tbl>
    <w:p>
      <w:pPr>
        <w:pStyle w:val="SmallNote"/>
      </w:pPr>
      <w:r>
        <w:t>原文链接：</w:t>
      </w:r>
      <w:hyperlink r:id="rId11">
        <w:r>
          <w:rPr>
            <w:color w:val="0563C1"/>
            <w:u w:val="single"/>
          </w:rPr>
          <w:t>https://www.reuters.com/commentary/breakingviews/zhu-rongjis-unbalanced-reforms-still-haunt-china-2026-08-13/</w:t>
        </w:r>
      </w:hyperlink>
    </w:p>
    <w:p>
      <w:pPr>
        <w:pStyle w:val="Heading1"/>
      </w:pPr>
      <w:r>
        <w:t>一、执行摘要</w:t>
      </w:r>
    </w:p>
    <w:p>
      <w:r>
        <w:t>文章把朱镕基时代的两项标志性改革——1994年财税体制重构与2001年加入WTO——与今天中国的两类结构性难题联系起来：地方财政对土地与隐性融资的依赖，以及经济对制造业和外需的较高依赖。作者的核心不是否定这些改革，而是强调“成功改革会产生下一阶段的制度副作用”：当原有问题被解决，新约束会在新的增长模式中逐步显现。</w:t>
      </w:r>
    </w:p>
    <w:p>
      <w:pPr>
        <w:pStyle w:val="Heading1"/>
      </w:pPr>
      <w:r>
        <w:t>二、原文论证结构重构</w:t>
      </w:r>
    </w:p>
    <w:p>
      <w:pPr>
        <w:pStyle w:val="Heading2"/>
      </w:pPr>
      <w:r>
        <w:t>第一层：1990年代的约束</w:t>
      </w:r>
    </w:p>
    <w:p>
      <w:r>
        <w:t>文章先把朱镕基置于高通胀、改革阻力和中央财政能力不足的背景下，强调其角色是执行高难度、强技术性的制度重构。</w:t>
      </w:r>
    </w:p>
    <w:p>
      <w:pPr>
        <w:pStyle w:val="Heading2"/>
      </w:pPr>
      <w:r>
        <w:t>第二层：1994财税改革</w:t>
      </w:r>
    </w:p>
    <w:p>
      <w:r>
        <w:t>Breakingviews认为分税制提高了中央汲取财政收入与宏观调控能力，但地方仍承担大量基础设施和社会公共服务支出，由此强化了地方寻找土地出让和表外融资的激励。</w:t>
      </w:r>
    </w:p>
    <w:p>
      <w:pPr>
        <w:pStyle w:val="Heading2"/>
      </w:pPr>
      <w:r>
        <w:t>第三层：2001年WTO</w:t>
      </w:r>
    </w:p>
    <w:p>
      <w:r>
        <w:t>文章把加入WTO视作第二个历史性成功，它帮助中国形成持续二十多年的出口与制造业扩张，同时也让外需成为增长体系的重要支柱。</w:t>
      </w:r>
    </w:p>
    <w:p>
      <w:pPr>
        <w:pStyle w:val="Heading2"/>
      </w:pPr>
      <w:r>
        <w:t>第四层：改革的“未完成事务”</w:t>
      </w:r>
    </w:p>
    <w:p>
      <w:r>
        <w:t>作者认为今天的房地产下行、地方财政困境、内需不足与贸易顺差，并非与1990年代改革无关；下一轮改革需要重新分配中央与地方、政府与居民、国有与民营部门之间的资源和权力。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212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1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图：根据Breakingviews文中数据/节点重绘，仅用于理解原文论证。</w:t>
      </w:r>
    </w:p>
    <w:p>
      <w:pPr>
        <w:pStyle w:val="Heading1"/>
      </w:pPr>
      <w:r>
        <w:t>三、原文关键事实与数据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指标/节点</w:t>
            </w:r>
          </w:p>
        </w:tc>
        <w:tc>
          <w:tcPr>
            <w:tcW w:type="dxa" w:w="2835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文章给出的信息</w:t>
            </w:r>
          </w:p>
        </w:tc>
        <w:tc>
          <w:tcPr>
            <w:tcW w:type="dxa" w:w="3969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含义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1990年代初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通胀一度接近20%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文章用于说明改革背景的紧迫性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1994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财税体制重构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文章视为中央财政能力恢复的关键节点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2001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加入WTO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文章视为出口导向增长加速的制度节点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2025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贸易顺差约1.2万亿美元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文章用来说明外部失衡的规模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2025财政执行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地方一般公共预算支出占全国85%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财政部数据印证地方支出责任仍然很重 [V2]</w:t>
            </w:r>
          </w:p>
        </w:tc>
      </w:tr>
    </w:tbl>
    <w:p>
      <w:pPr>
        <w:pStyle w:val="Heading1"/>
      </w:pPr>
      <w:r>
        <w:t>四、因果链条</w:t>
      </w:r>
    </w:p>
    <w:p>
      <w:pPr>
        <w:ind w:left="170" w:hanging="170"/>
      </w:pPr>
      <w:r>
        <w:rPr>
          <w:rFonts w:ascii="Noto Sans CJK SC" w:hAnsi="Noto Sans CJK SC" w:eastAsia="Noto Sans CJK SC"/>
          <w:sz w:val="21"/>
        </w:rPr>
        <w:t>1. 中央财政能力不足 → 1994财税改革 → 中央收入能力增强</w:t>
      </w:r>
    </w:p>
    <w:p>
      <w:pPr>
        <w:ind w:left="170" w:hanging="170"/>
      </w:pPr>
      <w:r>
        <w:rPr>
          <w:rFonts w:ascii="Noto Sans CJK SC" w:hAnsi="Noto Sans CJK SC" w:eastAsia="Noto Sans CJK SC"/>
          <w:sz w:val="21"/>
        </w:rPr>
        <w:t>2. 地方支出责任依旧较大 + 稳定地方税源不足 → 土地出让与LGFV融资重要性上升</w:t>
      </w:r>
    </w:p>
    <w:p>
      <w:pPr>
        <w:ind w:left="170" w:hanging="170"/>
      </w:pPr>
      <w:r>
        <w:rPr>
          <w:rFonts w:ascii="Noto Sans CJK SC" w:hAnsi="Noto Sans CJK SC" w:eastAsia="Noto Sans CJK SC"/>
          <w:sz w:val="21"/>
        </w:rPr>
        <w:t>3. 城市化与地产繁荣 → 土地财政和基建循环强化</w:t>
      </w:r>
    </w:p>
    <w:p>
      <w:pPr>
        <w:ind w:left="170" w:hanging="170"/>
      </w:pPr>
      <w:r>
        <w:rPr>
          <w:rFonts w:ascii="Noto Sans CJK SC" w:hAnsi="Noto Sans CJK SC" w:eastAsia="Noto Sans CJK SC"/>
          <w:sz w:val="21"/>
        </w:rPr>
        <w:t>4. 房地产去杠杆 → 土地收入下降 → 地方财政与债务约束显性化</w:t>
      </w:r>
    </w:p>
    <w:p>
      <w:pPr>
        <w:ind w:left="170" w:hanging="170"/>
      </w:pPr>
      <w:r>
        <w:rPr>
          <w:rFonts w:ascii="Noto Sans CJK SC" w:hAnsi="Noto Sans CJK SC" w:eastAsia="Noto Sans CJK SC"/>
          <w:sz w:val="21"/>
        </w:rPr>
        <w:t>5. 加入WTO → 制造业与出口能力增强 → 当内需走弱时，更多供给通过出口释放</w:t>
      </w:r>
    </w:p>
    <w:p>
      <w:pPr>
        <w:ind w:left="170" w:hanging="170"/>
      </w:pPr>
      <w:r>
        <w:rPr>
          <w:rFonts w:ascii="Noto Sans CJK SC" w:hAnsi="Noto Sans CJK SC" w:eastAsia="Noto Sans CJK SC"/>
          <w:sz w:val="21"/>
        </w:rPr>
        <w:t>6. 最终问题从“如何扩大生产”转向“如何重新分配收入、财政责任和消费能力”</w:t>
      </w:r>
    </w:p>
    <w:p>
      <w:pPr>
        <w:pStyle w:val="Heading1"/>
      </w:pPr>
      <w:r>
        <w:t>五、文章最有价值的地方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把今天的房地产、地方财政和外贸问题放回30年的制度演化中，而不是当作孤立事件。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指出“改革收益”与“改革副作用”可以同时成立，避免把朱镕基时期简单评价为成功或失败。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抓住了央地财权事权关系这一地方债问题的制度根源。</w:t>
      </w:r>
    </w:p>
    <w:p>
      <w:pPr>
        <w:pStyle w:val="Heading1"/>
      </w:pPr>
      <w:r>
        <w:t>六、需要警惕的推理跳跃与局限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文章把“1994财税改革→土地财政”写得过于线性。实际还需要加入住房商品化、土地制度、城市化、干部激励、银行信贷和2008年刺激等中间变量。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把“加入WTO→今日外需依赖”联系得较紧，但消费偏低还受社会保障、人口、住房资产和收入分配等多因素影响。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Breakingviews是评论，不是历史学论文；它为了形成强观点，会压缩中间机制。</w:t>
      </w:r>
    </w:p>
    <w:p>
      <w:pPr>
        <w:pStyle w:val="Heading1"/>
      </w:pPr>
      <w:r>
        <w:t>七、外部交叉验证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041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验证主题</w:t>
            </w:r>
          </w:p>
        </w:tc>
        <w:tc>
          <w:tcPr>
            <w:tcW w:type="dxa" w:w="4535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外部来源结论</w:t>
            </w:r>
          </w:p>
        </w:tc>
        <w:tc>
          <w:tcPr>
            <w:tcW w:type="dxa" w:w="2948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对原文的意义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财政结构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财政部2025年数据显示，地方一般公共预算支出占全国85%，地方本级收入约12.2万亿元，中央转移支付约10.2万亿元。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支持“地方承担较大支出责任”的判断，但不能单独证明土地财政完全由分税制导致。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内需与外需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IMF 2026年中国第四条款报告把房地产、地方财政、内需疲弱和出口依赖放在同一个宏观框架中。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与Breakingviews总体方向一致。</w:t>
            </w:r>
          </w:p>
        </w:tc>
      </w:tr>
    </w:tbl>
    <w:p>
      <w:pPr>
        <w:pStyle w:val="Heading1"/>
      </w:pPr>
      <w:r>
        <w:t>八、进一步推论：对中国经济研究意味着什么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下一轮真正困难的改革不是再做一次简单债务置换，而是重构地方稳定税源和中央—地方支出责任。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若要从出口与投资驱动转向消费驱动，财政转移需要更直接地进入居民部门，而不仅是项目和生产端。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历史评价应区分“当时约束下的改革必要性”和“改革形成的长期路径依赖”。</w:t>
      </w:r>
    </w:p>
    <w:p>
      <w:pPr>
        <w:pStyle w:val="Heading1"/>
      </w:pPr>
      <w:r>
        <w:t>九、阅读结论</w:t>
      </w:r>
    </w:p>
    <w:p>
      <w:r>
        <w:t>建议把这篇Breakingviews当作“待检验的结构模型”而不是事实汇编：先接受它提出的问题，再逐一核验因果链。其最大价值在于把单篇新闻中的事件连接成制度与资产负债表机制；最大风险则是为了形成强观点而压缩历史中间变量。</w:t>
      </w:r>
    </w:p>
    <w:p>
      <w:pPr>
        <w:pStyle w:val="Heading1"/>
      </w:pPr>
      <w:r>
        <w:t>参考来源</w:t>
      </w:r>
    </w:p>
    <w:p>
      <w:pPr>
        <w:pStyle w:val="SmallNote"/>
      </w:pPr>
      <w:r>
        <w:rPr>
          <w:rFonts w:ascii="Noto Sans CJK SC" w:hAnsi="Noto Sans CJK SC" w:eastAsia="Noto Sans CJK SC"/>
          <w:sz w:val="17"/>
        </w:rPr>
        <w:t>[R1] Reuters Breakingviews，Zhu Rongji’s unbalanced reforms still haunt China，2026-08-13。</w:t>
      </w:r>
      <w:hyperlink r:id="rId11">
        <w:r>
          <w:rPr>
            <w:color w:val="0563C1"/>
            <w:u w:val="single"/>
          </w:rPr>
          <w:t>链接</w:t>
        </w:r>
      </w:hyperlink>
    </w:p>
    <w:p>
      <w:pPr>
        <w:pStyle w:val="SmallNote"/>
      </w:pPr>
      <w:r>
        <w:rPr>
          <w:rFonts w:ascii="Noto Sans CJK SC" w:hAnsi="Noto Sans CJK SC" w:eastAsia="Noto Sans CJK SC"/>
          <w:sz w:val="17"/>
        </w:rPr>
        <w:t>[V1] IMF，People’s Republic of China: 2025 Article IV Consultation，2026-02。</w:t>
      </w:r>
      <w:hyperlink r:id="rId13">
        <w:r>
          <w:rPr>
            <w:color w:val="0563C1"/>
            <w:u w:val="single"/>
          </w:rPr>
          <w:t>链接</w:t>
        </w:r>
      </w:hyperlink>
    </w:p>
    <w:p>
      <w:pPr>
        <w:pStyle w:val="SmallNote"/>
      </w:pPr>
      <w:r>
        <w:rPr>
          <w:rFonts w:ascii="Noto Sans CJK SC" w:hAnsi="Noto Sans CJK SC" w:eastAsia="Noto Sans CJK SC"/>
          <w:sz w:val="17"/>
        </w:rPr>
        <w:t>[V2] 中华人民共和国财政部，2025年预算执行与2026年预算草案报告，2026-03-16。</w:t>
      </w:r>
      <w:hyperlink r:id="rId14">
        <w:r>
          <w:rPr>
            <w:color w:val="0563C1"/>
            <w:u w:val="single"/>
          </w:rPr>
          <w:t>链接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49" w:right="1134" w:bottom="822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sz w:val="16"/>
      </w:rPr>
      <w:t>Reuters Breakingviews 中国研究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1" w:lineRule="auto" w:after="7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Noto Sans CJK SC" w:hAnsi="Noto Sans CJK SC" w:eastAsia="Noto Sans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reuters.com/commentary/breakingviews/zhu-rongjis-unbalanced-reforms-still-haunt-china-2026-08-13/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www.elibrary.imf.org/view/journals/002/2026/044/article-A001-en.xml" TargetMode="External"/><Relationship Id="rId14" Type="http://schemas.openxmlformats.org/officeDocument/2006/relationships/hyperlink" Target="https://www.mof.gov.cn/zhengwuxinxi/caizhengxinwen/202603/t20260316_3985331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