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中国房地产“重置”的高昂代价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Reuters Breakingviews《China's property reset comes with a heavy price》中文深度摘要与研究性重构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7F7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版权说明：本文是基于Reuters Breakingviews原文制作的中文深度摘要、结构重构与研究性分析，不是逐句全文翻译；未复现大段受版权保护的原文。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原文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China's property reset comes with a heavy price</w:t>
            </w:r>
          </w:p>
        </w:tc>
      </w:tr>
      <w:tr>
        <w:tc>
          <w:tcPr>
            <w:tcW w:type="dxa" w:w="4929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作者/栏目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Reuters Breakingviews</w:t>
            </w:r>
          </w:p>
        </w:tc>
      </w:tr>
      <w:tr>
        <w:tc>
          <w:tcPr>
            <w:tcW w:type="dxa" w:w="4929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发布日期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2026-03-09</w:t>
            </w:r>
          </w:p>
        </w:tc>
      </w:tr>
      <w:tr>
        <w:tc>
          <w:tcPr>
            <w:tcW w:type="dxa" w:w="4929"/>
            <w:shd w:fill="EDEDE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49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Breakingviews属于Reuters评论栏目，观点归作者；文中事实与评论需分层阅读。</w:t>
            </w:r>
          </w:p>
        </w:tc>
      </w:tr>
    </w:tbl>
    <w:p>
      <w:pPr>
        <w:pStyle w:val="SmallNote"/>
      </w:pPr>
      <w:r>
        <w:t>原文链接：</w:t>
      </w:r>
      <w:hyperlink r:id="rId11">
        <w:r>
          <w:rPr>
            <w:color w:val="0563C1"/>
            <w:u w:val="single"/>
          </w:rPr>
          <w:t>https://www.reuters.com/commentary/breakingviews/chinas-property-reset-comes-with-heavy-price-2026-03-09/</w:t>
        </w:r>
      </w:hyperlink>
    </w:p>
    <w:p>
      <w:pPr>
        <w:pStyle w:val="Heading1"/>
      </w:pPr>
      <w:r>
        <w:t>一、执行摘要</w:t>
      </w:r>
    </w:p>
    <w:p>
      <w:r>
        <w:t>文章的核心判断是：中国房地产泡沫确实需要去杠杆，但“刺破泡沫”只是第一阶段，真正困难的是泡沫退出后的资产负债表修复。开发商债务风险有所下降，房地产投资占GDP的比重明显收缩，但房价下跌和居民对住房的高度财富依赖，使问题从开发商层面转向家庭财富、储蓄、消费与宏观需求。</w:t>
      </w:r>
    </w:p>
    <w:p>
      <w:pPr>
        <w:pStyle w:val="Heading1"/>
      </w:pPr>
      <w:r>
        <w:t>二、原文论证结构重构</w:t>
      </w:r>
    </w:p>
    <w:p>
      <w:pPr>
        <w:pStyle w:val="Heading2"/>
      </w:pPr>
      <w:r>
        <w:t>第一层：为什么必须去杠杆</w:t>
      </w:r>
    </w:p>
    <w:p>
      <w:r>
        <w:t>文章回顾房地产长期吸收居民储蓄、推动城市化并支撑地方土地财政；信用宽松、隐性担保预期和投资替代品不足共同强化了房价永续上涨的信念。</w:t>
      </w:r>
    </w:p>
    <w:p>
      <w:pPr>
        <w:pStyle w:val="Heading2"/>
      </w:pPr>
      <w:r>
        <w:t>第二层：2020年后的风险压降</w:t>
      </w:r>
    </w:p>
    <w:p>
      <w:r>
        <w:t>“三条红线”等政策限制开发商继续依靠债务扩张，恒大等高杠杆企业暴露风险，行业经过多年违约、重组和投资收缩，系统对突然爆雷的脆弱性有所下降。</w:t>
      </w:r>
    </w:p>
    <w:p>
      <w:pPr>
        <w:pStyle w:val="Heading2"/>
      </w:pPr>
      <w:r>
        <w:t>第三层：从房企债务转向家庭资产负债表</w:t>
      </w:r>
    </w:p>
    <w:p>
      <w:r>
        <w:t>房价继续下降、销售萎缩、开发商利润恶化，但更深的后果是住房占家庭财富比例极高，房价下跌促使家庭提高预防性储蓄、提前还贷并减少消费。</w:t>
      </w:r>
    </w:p>
    <w:p>
      <w:pPr>
        <w:pStyle w:val="Heading2"/>
      </w:pPr>
      <w:r>
        <w:t>第四层：消费战略与地产稳定绑定</w:t>
      </w:r>
    </w:p>
    <w:p>
      <w:r>
        <w:t>当政策目标转向扩大消费时，稳定房地产不再只是救行业，而是避免家庭净资产继续收缩，修复消费意愿。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57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erty_sh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图：根据Breakingviews文中数据/节点重绘，仅用于理解原文论证。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57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er_sa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三、原文关键事实与数据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指标/节点</w:t>
            </w:r>
          </w:p>
        </w:tc>
        <w:tc>
          <w:tcPr>
            <w:tcW w:type="dxa" w:w="283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文章给出的信息</w:t>
            </w:r>
          </w:p>
        </w:tc>
        <w:tc>
          <w:tcPr>
            <w:tcW w:type="dxa" w:w="3969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房地产投资占GDP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约12%（2021）→约6%（2026）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说明旧增长引擎权重显著下降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46家大型上市开发商债务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2025年约5.19万亿元，较2020年下降17%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去杠杆取得实质进展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Top100开发商合约销售额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13万亿元（2020）→3.36万亿元（2025）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行业现金流大幅收缩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26家主要上市房企净利润率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10.7%（2020）→-1.1%（2024）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盈利能力坍塌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家庭银行存款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2025年166万亿元，较2020年增长约120%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反映高储蓄与低风险偏好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家庭财富结构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文章援引研究称近70%在房地产，不足10%在股票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解释房价变化对信心的高敏感度</w:t>
            </w:r>
          </w:p>
        </w:tc>
      </w:tr>
    </w:tbl>
    <w:p>
      <w:pPr>
        <w:pStyle w:val="Heading1"/>
      </w:pPr>
      <w:r>
        <w:t>四、因果链条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1. 高房价/高杠杆 → 政策去杠杆 → 房企信用与投资收缩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2. 房价下降 → 家庭净财富下降 → 风险厌恶上升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3. 风险厌恶上升 → 提前还贷与银行存款增加 → 消费下降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4. 消费下降 → 企业价格竞争/低通胀压力 → 进一步削弱收入与信心</w:t>
      </w:r>
    </w:p>
    <w:p>
      <w:pPr>
        <w:ind w:left="170" w:hanging="170"/>
      </w:pPr>
      <w:r>
        <w:rPr>
          <w:rFonts w:ascii="Noto Sans CJK SC" w:hAnsi="Noto Sans CJK SC" w:eastAsia="Noto Sans CJK SC"/>
          <w:sz w:val="21"/>
        </w:rPr>
        <w:t>5. 因此“稳地产”的政策含义从托开发商转向降低居民财富损失与完成存量库存出清</w:t>
      </w:r>
    </w:p>
    <w:p>
      <w:pPr>
        <w:pStyle w:val="Heading1"/>
      </w:pPr>
      <w:r>
        <w:t>五、文章最有价值的地方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准确区分了“金融系统风险下降”和“宏观需求拖累仍在”这两件可以同时成立的事实。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把房地产问题从房企违约扩展到居民财富效应，是理解中国消费偏弱的重要桥梁。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与IMF 2026年报告关于房价下跌、财富效应和储蓄上升的实证方向高度一致。</w:t>
      </w:r>
    </w:p>
    <w:p>
      <w:pPr>
        <w:pStyle w:val="Heading1"/>
      </w:pPr>
      <w:r>
        <w:t>六、需要警惕的推理跳跃与局限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家庭财富中房地产占比的估计依赖特定研究与口径，不同调查结果会有差异。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文章倾向把高储蓄主要归因于房地产，实际上人口老龄化、社会保障、教育医疗支出预期与就业不确定性同样重要。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“房地产泡沫已大体挤出”是一种评论判断；库存、价格和城市分化意味着调整结束时间仍不确定。</w:t>
      </w:r>
    </w:p>
    <w:p>
      <w:pPr>
        <w:pStyle w:val="Heading1"/>
      </w:pPr>
      <w:r>
        <w:t>七、外部交叉验证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041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验证主题</w:t>
            </w:r>
          </w:p>
        </w:tc>
        <w:tc>
          <w:tcPr>
            <w:tcW w:type="dxa" w:w="453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外部来源结论</w:t>
            </w:r>
          </w:p>
        </w:tc>
        <w:tc>
          <w:tcPr>
            <w:tcW w:type="dxa" w:w="294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对原文的意义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财富效应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IMF 2026年报告明确指出，房价下跌导致住房净财富下降，提升家庭储蓄并压低消费；房价跌幅更大的省份消费也更弱。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强支持。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地方财政联动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IMF同时指出高地方债省份在房地产下行后通缩压力更明显，原因之一是地方财政对地产相关收入依赖。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支持房地产—地方财政—需求之间的反馈机制。</w:t>
            </w:r>
          </w:p>
        </w:tc>
      </w:tr>
    </w:tbl>
    <w:p>
      <w:pPr>
        <w:pStyle w:val="Heading1"/>
      </w:pPr>
      <w:r>
        <w:t>八、进一步推论：对中国经济研究意味着什么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房地产政策的终点不是重新吹大房价，而是形成可承受的价格底、完成库存出清，并减少家庭对单一住房资产的依赖。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扩大消费不能只靠消费券或短期补贴；如果家庭认为主要资产持续贬值，边际消费倾向很难显著提升。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长期需要更多养老金、医疗、教育和公共服务保障来降低预防性储蓄。</w:t>
      </w:r>
    </w:p>
    <w:p>
      <w:pPr>
        <w:pStyle w:val="Heading1"/>
      </w:pPr>
      <w:r>
        <w:t>九、阅读结论</w:t>
      </w:r>
    </w:p>
    <w:p>
      <w:r>
        <w:t>建议把这篇Breakingviews当作“待检验的结构模型”而不是事实汇编：先接受它提出的问题，再逐一核验因果链。其最大价值在于把单篇新闻中的事件连接成制度与资产负债表机制；最大风险则是为了形成强观点而压缩历史中间变量。</w:t>
      </w:r>
    </w:p>
    <w:p>
      <w:pPr>
        <w:pStyle w:val="Heading1"/>
      </w:pPr>
      <w:r>
        <w:t>参考来源</w:t>
      </w:r>
    </w:p>
    <w:p>
      <w:pPr>
        <w:pStyle w:val="SmallNote"/>
      </w:pPr>
      <w:r>
        <w:rPr>
          <w:rFonts w:ascii="Noto Sans CJK SC" w:hAnsi="Noto Sans CJK SC" w:eastAsia="Noto Sans CJK SC"/>
          <w:sz w:val="17"/>
        </w:rPr>
        <w:t>[R2] Reuters Breakingviews，China's property reset comes with a heavy price，2026-03-09。</w:t>
      </w:r>
      <w:hyperlink r:id="rId11">
        <w:r>
          <w:rPr>
            <w:color w:val="0563C1"/>
            <w:u w:val="single"/>
          </w:rPr>
          <w:t>链接</w:t>
        </w:r>
      </w:hyperlink>
    </w:p>
    <w:p>
      <w:pPr>
        <w:pStyle w:val="SmallNote"/>
      </w:pPr>
      <w:r>
        <w:rPr>
          <w:rFonts w:ascii="Noto Sans CJK SC" w:hAnsi="Noto Sans CJK SC" w:eastAsia="Noto Sans CJK SC"/>
          <w:sz w:val="17"/>
        </w:rPr>
        <w:t>[V1] IMF，People’s Republic of China: 2025 Article IV Consultation，2026-02。</w:t>
      </w:r>
      <w:hyperlink r:id="rId14">
        <w:r>
          <w:rPr>
            <w:color w:val="0563C1"/>
            <w:u w:val="single"/>
          </w:rPr>
          <w:t>链接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49" w:right="1134" w:bottom="822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6"/>
      </w:rPr>
      <w:t>Reuters Breakingviews 中国研究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7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euters.com/commentary/breakingviews/chinas-property-reset-comes-with-heavy-price-2026-03-09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www.elibrary.imf.org/view/journals/002/2026/044/article-A001-en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