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sz w:val="44"/>
        </w:rPr>
        <w:t>“非计划性顺差”与欧盟的贸易两难</w:t>
      </w:r>
    </w:p>
    <w:p>
      <w:pPr>
        <w:jc w:val="center"/>
      </w:pPr>
      <w:r>
        <w:rPr>
          <w:rFonts w:ascii="Noto Sans CJK SC" w:hAnsi="Noto Sans CJK SC" w:eastAsia="Noto Sans CJK SC"/>
          <w:sz w:val="22"/>
        </w:rPr>
        <w:t>Reuters Breakingviews《China’s unplanned surpluses put EU in trade bind》中文深度摘要与研究性重构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7F7F7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版权说明：本文是基于Reuters Breakingviews原文制作的中文深度摘要、结构重构与研究性分析，不是逐句全文翻译；未复现大段受版权保护的原文。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EDEDE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原文</w:t>
            </w:r>
          </w:p>
        </w:tc>
        <w:tc>
          <w:tcPr>
            <w:tcW w:type="dxa" w:w="492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China’s unplanned surpluses put EU in trade bind</w:t>
            </w:r>
          </w:p>
        </w:tc>
      </w:tr>
      <w:tr>
        <w:tc>
          <w:tcPr>
            <w:tcW w:type="dxa" w:w="4929"/>
            <w:shd w:fill="EDEDE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作者/栏目</w:t>
            </w:r>
          </w:p>
        </w:tc>
        <w:tc>
          <w:tcPr>
            <w:tcW w:type="dxa" w:w="492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Reuters Breakingviews</w:t>
            </w:r>
          </w:p>
        </w:tc>
      </w:tr>
      <w:tr>
        <w:tc>
          <w:tcPr>
            <w:tcW w:type="dxa" w:w="4929"/>
            <w:shd w:fill="EDEDE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发布日期</w:t>
            </w:r>
          </w:p>
        </w:tc>
        <w:tc>
          <w:tcPr>
            <w:tcW w:type="dxa" w:w="492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2026-08-17</w:t>
            </w:r>
          </w:p>
        </w:tc>
      </w:tr>
      <w:tr>
        <w:tc>
          <w:tcPr>
            <w:tcW w:type="dxa" w:w="4929"/>
            <w:shd w:fill="EDEDE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  <w:tc>
          <w:tcPr>
            <w:tcW w:type="dxa" w:w="492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Breakingviews属于Reuters评论栏目，观点归作者；文中事实与评论需分层阅读。</w:t>
            </w:r>
          </w:p>
        </w:tc>
      </w:tr>
    </w:tbl>
    <w:p>
      <w:pPr>
        <w:pStyle w:val="SmallNote"/>
      </w:pPr>
      <w:r>
        <w:t>原文链接：</w:t>
      </w:r>
      <w:hyperlink r:id="rId11">
        <w:r>
          <w:rPr>
            <w:color w:val="0563C1"/>
            <w:u w:val="single"/>
          </w:rPr>
          <w:t>https://www.reuters.com/commentary/breakingviews/chinas-unplanned-surpluses-put-eu-trade-bind-2026-08-17/</w:t>
        </w:r>
      </w:hyperlink>
    </w:p>
    <w:p>
      <w:pPr>
        <w:pStyle w:val="Heading1"/>
      </w:pPr>
      <w:r>
        <w:t>一、执行摘要</w:t>
      </w:r>
    </w:p>
    <w:p>
      <w:r>
        <w:t>这篇文章最大的贡献，是把“中国产能过剩”争议拆成两个不同命题。作者承认中国出口竞争力确实来自规模经济、创新、产业链和全球绿色转型需求；但反对中方文件对国内需求不足与顺差关系的全面否定。Breakingviews提出：房地产下行削弱居民财富与消费，国内市场吸收能力不足，制造企业将更多产品卖向海外，因此巨额顺差未必是预先设计的国家战略，却是国内结构失衡的宏观结果。</w:t>
      </w:r>
    </w:p>
    <w:p>
      <w:pPr>
        <w:pStyle w:val="Heading1"/>
      </w:pPr>
      <w:r>
        <w:t>二、原文论证结构重构</w:t>
      </w:r>
    </w:p>
    <w:p>
      <w:pPr>
        <w:pStyle w:val="Heading2"/>
      </w:pPr>
      <w:r>
        <w:t>第一层：中方官方立场</w:t>
      </w:r>
    </w:p>
    <w:p>
      <w:r>
        <w:t>商务部2026年7月发布文件，系统反驳将产业补贴、贸易顺差、经济失衡和市场竞争简单等同于“产能过剩”的论述，强调全球分工、规模经济、创新与绿色转型需求。</w:t>
      </w:r>
    </w:p>
    <w:p>
      <w:pPr>
        <w:pStyle w:val="Heading2"/>
      </w:pPr>
      <w:r>
        <w:t>第二层：Breakingviews部分接受中方论点</w:t>
      </w:r>
    </w:p>
    <w:p>
      <w:r>
        <w:t>作者明确承认“出口增长来自规模经济、创新和全球需求”是有效解释，中国制造竞争力不能简单归因于补贴。</w:t>
      </w:r>
    </w:p>
    <w:p>
      <w:pPr>
        <w:pStyle w:val="Heading2"/>
      </w:pPr>
      <w:r>
        <w:t>第三层：分歧集中在国内需求</w:t>
      </w:r>
    </w:p>
    <w:p>
      <w:r>
        <w:t>Breakingviews认为中方否认内需不足与顺差之间的联系站不住脚，并用汽车国内销量下降、出口大增以及持续价格战说明国内吸收能力偏弱。</w:t>
      </w:r>
    </w:p>
    <w:p>
      <w:pPr>
        <w:pStyle w:val="Heading2"/>
      </w:pPr>
      <w:r>
        <w:t>第四层：房地产是关键传导器</w:t>
      </w:r>
    </w:p>
    <w:p>
      <w:r>
        <w:t>房价下跌→家庭财富受损→储蓄上升→消费恢复不足；企业面对国内需求不足，自然把更多供给转向国际市场。</w:t>
      </w:r>
    </w:p>
    <w:p>
      <w:pPr>
        <w:pStyle w:val="Heading2"/>
      </w:pPr>
      <w:r>
        <w:t>第五层：欧洲的谈判困境</w:t>
      </w:r>
    </w:p>
    <w:p>
      <w:r>
        <w:t>如果顺差部分是中国内部资产负债表调整的结果，欧盟要求中国“迅速减少出口、增加进口”就不是单纯贸易政策可以完成，而需要中国内部再平衡。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0577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de_sha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7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jc w:val="center"/>
      </w:pPr>
      <w:r>
        <w:t>图：根据Breakingviews文中数据/节点重绘，仅用于理解原文论证。</w:t>
      </w:r>
    </w:p>
    <w:p>
      <w:pPr>
        <w:pStyle w:val="Heading1"/>
      </w:pPr>
      <w:r>
        <w:t>三、原文关键事实与数据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2268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指标/节点</w:t>
            </w:r>
          </w:p>
        </w:tc>
        <w:tc>
          <w:tcPr>
            <w:tcW w:type="dxa" w:w="2835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文章给出的信息</w:t>
            </w:r>
          </w:p>
        </w:tc>
        <w:tc>
          <w:tcPr>
            <w:tcW w:type="dxa" w:w="3969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含义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中国贸易顺差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约1.2万亿美元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文章讨论的外部失衡背景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2026年7月汽车销量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连续第10个月下降，较上年约低20%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国内市场竞争与需求偏弱的例证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同期汽车出口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同比接近+90%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国内外销量方向分化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商务部立场文件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2026-07-28发布，中文1万余字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官方系统回应“产能过剩”争议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IMF 2026判断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国内需求不足由强劲出口部分抵消，净出口上升形成外部失衡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对Breakingviews宏观链条构成独立验证</w:t>
            </w:r>
          </w:p>
        </w:tc>
      </w:tr>
    </w:tbl>
    <w:p>
      <w:pPr>
        <w:pStyle w:val="Heading1"/>
      </w:pPr>
      <w:r>
        <w:t>四、因果链条</w:t>
      </w:r>
    </w:p>
    <w:p>
      <w:pPr>
        <w:ind w:left="170" w:hanging="170"/>
      </w:pPr>
      <w:r>
        <w:rPr>
          <w:rFonts w:ascii="Noto Sans CJK SC" w:hAnsi="Noto Sans CJK SC" w:eastAsia="Noto Sans CJK SC"/>
          <w:sz w:val="21"/>
        </w:rPr>
        <w:t>1. 房地产下行 → 家庭财富效应变弱 → 储蓄率/现金偏好提高</w:t>
      </w:r>
    </w:p>
    <w:p>
      <w:pPr>
        <w:ind w:left="170" w:hanging="170"/>
      </w:pPr>
      <w:r>
        <w:rPr>
          <w:rFonts w:ascii="Noto Sans CJK SC" w:hAnsi="Noto Sans CJK SC" w:eastAsia="Noto Sans CJK SC"/>
          <w:sz w:val="21"/>
        </w:rPr>
        <w:t>2. 消费增长弱 → 国内企业价格战与“内卷”加剧</w:t>
      </w:r>
    </w:p>
    <w:p>
      <w:pPr>
        <w:ind w:left="170" w:hanging="170"/>
      </w:pPr>
      <w:r>
        <w:rPr>
          <w:rFonts w:ascii="Noto Sans CJK SC" w:hAnsi="Noto Sans CJK SC" w:eastAsia="Noto Sans CJK SC"/>
          <w:sz w:val="21"/>
        </w:rPr>
        <w:t>3. 制造业规模与效率仍高 → 国内无法吸收的产出更多转向海外</w:t>
      </w:r>
    </w:p>
    <w:p>
      <w:pPr>
        <w:ind w:left="170" w:hanging="170"/>
      </w:pPr>
      <w:r>
        <w:rPr>
          <w:rFonts w:ascii="Noto Sans CJK SC" w:hAnsi="Noto Sans CJK SC" w:eastAsia="Noto Sans CJK SC"/>
          <w:sz w:val="21"/>
        </w:rPr>
        <w:t>4. 出口强、进口相对弱 → 顺差扩大 → 欧洲产业与政治压力上升</w:t>
      </w:r>
    </w:p>
    <w:p>
      <w:pPr>
        <w:ind w:left="170" w:hanging="170"/>
      </w:pPr>
      <w:r>
        <w:rPr>
          <w:rFonts w:ascii="Noto Sans CJK SC" w:hAnsi="Noto Sans CJK SC" w:eastAsia="Noto Sans CJK SC"/>
          <w:sz w:val="21"/>
        </w:rPr>
        <w:t>5. 欧盟通过关税/反补贴谈判施压，但贸易政策无法直接修复中国家庭资产负债表</w:t>
      </w:r>
    </w:p>
    <w:p>
      <w:pPr>
        <w:ind w:left="170" w:hanging="170"/>
      </w:pPr>
      <w:r>
        <w:rPr>
          <w:rFonts w:ascii="Noto Sans CJK SC" w:hAnsi="Noto Sans CJK SC" w:eastAsia="Noto Sans CJK SC"/>
          <w:sz w:val="21"/>
        </w:rPr>
        <w:t>6. 因此真正的再平衡变量是居民收入、社会保障、房价稳定和消费，而非单一出口配额</w:t>
      </w:r>
    </w:p>
    <w:p>
      <w:pPr>
        <w:pStyle w:val="Heading1"/>
      </w:pPr>
      <w:r>
        <w:t>五、文章最有价值的地方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避免“中国产能优势全靠补贴”的简单化叙事，明确承认规模、创新和全球需求。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把贸易失衡与房地产/消费连接起来，使外部冲突有了内部宏观基础。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与IMF关于“中国内需不足由出口弥补、外部失衡扩大”的框架高度一致。</w:t>
      </w:r>
    </w:p>
    <w:p>
      <w:pPr>
        <w:pStyle w:val="Heading1"/>
      </w:pPr>
      <w:r>
        <w:t>六、需要警惕的推理跳跃与局限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文章结尾把中国描述为“不仅不愿，而且不能”迅速再平衡，语气过强。中国仍有扩大社保、转移支付、居民补贴和中央财政支出的政策工具。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“内需不足→出口增加”并非每个行业都成立；部分行业出口增长确实主要源自全球竞争力和海外需求。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汽车单月/年度数据是强例证，但不能代表整个制造业。</w:t>
      </w:r>
    </w:p>
    <w:p>
      <w:pPr>
        <w:pStyle w:val="Heading1"/>
      </w:pPr>
      <w:r>
        <w:t>七、外部交叉验证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2041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验证主题</w:t>
            </w:r>
          </w:p>
        </w:tc>
        <w:tc>
          <w:tcPr>
            <w:tcW w:type="dxa" w:w="4535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外部来源结论</w:t>
            </w:r>
          </w:p>
        </w:tc>
        <w:tc>
          <w:tcPr>
            <w:tcW w:type="dxa" w:w="2948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对原文的意义</w:t>
            </w:r>
          </w:p>
        </w:tc>
      </w:tr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中方立场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商务部文件确实把产业补贴、贸易顺差、经济失衡和市场竞争分别讨论，并否认“国内需求不足必然产生过剩产能”的简单逻辑。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准确。</w:t>
            </w:r>
          </w:p>
        </w:tc>
      </w:tr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IMF框架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IMF 2026报告明确写明：房地产和地方财政拖累国内需求，强劲出口弥补需求不足并形成外部失衡。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强支持Breakingviews宏观层面的因果方向。</w:t>
            </w:r>
          </w:p>
        </w:tc>
      </w:tr>
    </w:tbl>
    <w:p>
      <w:pPr>
        <w:pStyle w:val="Heading1"/>
      </w:pPr>
      <w:r>
        <w:t>八、进一步推论：对中国经济研究意味着什么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欧洲对华贸易矛盾可能长期化，因为它不是关税谈判单独能够解决，而与中国内部收入分配和房地产调整有关。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中国若真正扩大居民消费，既能改善国内增长质量，也可能缓解全球贸易政治压力。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研究“产能过剩”应至少拆成三层：企业层面的产能利用率、产业层面的成本/技术优势、宏观层面的储蓄—投资—经常账户失衡。</w:t>
      </w:r>
    </w:p>
    <w:p>
      <w:pPr>
        <w:pStyle w:val="Heading1"/>
      </w:pPr>
      <w:r>
        <w:t>九、阅读结论</w:t>
      </w:r>
    </w:p>
    <w:p>
      <w:r>
        <w:t>建议把这篇Breakingviews当作“待检验的结构模型”而不是事实汇编：先接受它提出的问题，再逐一核验因果链。其最大价值在于把单篇新闻中的事件连接成制度与资产负债表机制；最大风险则是为了形成强观点而压缩历史中间变量。</w:t>
      </w:r>
    </w:p>
    <w:p>
      <w:pPr>
        <w:pStyle w:val="Heading1"/>
      </w:pPr>
      <w:r>
        <w:t>参考来源</w:t>
      </w:r>
    </w:p>
    <w:p>
      <w:pPr>
        <w:pStyle w:val="SmallNote"/>
      </w:pPr>
      <w:r>
        <w:rPr>
          <w:rFonts w:ascii="Noto Sans CJK SC" w:hAnsi="Noto Sans CJK SC" w:eastAsia="Noto Sans CJK SC"/>
          <w:sz w:val="17"/>
        </w:rPr>
        <w:t>[R4] Reuters Breakingviews，China’s unplanned surpluses put EU in trade bind，2026-08-17。</w:t>
      </w:r>
      <w:hyperlink r:id="rId11">
        <w:r>
          <w:rPr>
            <w:color w:val="0563C1"/>
            <w:u w:val="single"/>
          </w:rPr>
          <w:t>链接</w:t>
        </w:r>
      </w:hyperlink>
    </w:p>
    <w:p>
      <w:pPr>
        <w:pStyle w:val="SmallNote"/>
      </w:pPr>
      <w:r>
        <w:rPr>
          <w:rFonts w:ascii="Noto Sans CJK SC" w:hAnsi="Noto Sans CJK SC" w:eastAsia="Noto Sans CJK SC"/>
          <w:sz w:val="17"/>
        </w:rPr>
        <w:t>[V1] IMF，People’s Republic of China: 2025 Article IV Consultation，2026-02。</w:t>
      </w:r>
      <w:hyperlink r:id="rId13">
        <w:r>
          <w:rPr>
            <w:color w:val="0563C1"/>
            <w:u w:val="single"/>
          </w:rPr>
          <w:t>链接</w:t>
        </w:r>
      </w:hyperlink>
    </w:p>
    <w:p>
      <w:pPr>
        <w:pStyle w:val="SmallNote"/>
      </w:pPr>
      <w:r>
        <w:rPr>
          <w:rFonts w:ascii="Noto Sans CJK SC" w:hAnsi="Noto Sans CJK SC" w:eastAsia="Noto Sans CJK SC"/>
          <w:sz w:val="17"/>
        </w:rPr>
        <w:t>[V3] 中华人民共和国商务部，关于所谓“产能过剩”问题的中方立场，2026-07-28。</w:t>
      </w:r>
      <w:hyperlink r:id="rId14">
        <w:r>
          <w:rPr>
            <w:color w:val="0563C1"/>
            <w:u w:val="single"/>
          </w:rPr>
          <w:t>链接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049" w:right="1134" w:bottom="822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sz w:val="16"/>
      </w:rPr>
      <w:t xml:space="preserve">第 </w:t>
    </w:r>
    <w:r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sz w:val="16"/>
      </w:rPr>
      <w:t>Reuters Breakingviews 中国研究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1" w:lineRule="auto" w:after="7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Noto Sans CJK SC" w:hAnsi="Noto Sans CJK SC" w:eastAsia="Noto Sans CJK S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reuters.com/commentary/breakingviews/chinas-unplanned-surpluses-put-eu-trade-bind-2026-08-17/" TargetMode="External"/><Relationship Id="rId12" Type="http://schemas.openxmlformats.org/officeDocument/2006/relationships/image" Target="media/image1.png"/><Relationship Id="rId13" Type="http://schemas.openxmlformats.org/officeDocument/2006/relationships/hyperlink" Target="https://www.elibrary.imf.org/view/journals/002/2026/044/article-A001-en.xml" TargetMode="External"/><Relationship Id="rId14" Type="http://schemas.openxmlformats.org/officeDocument/2006/relationships/hyperlink" Target="https://www.mofcom.gov.cn/syxwfb/art/2026/art_9484491dee094b25bb54656fdef72a93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