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w:hAnsi="Aptos" w:eastAsia="Noto Sans CJK SC"/>
          <w:b/>
          <w:color w:val="1C344E"/>
          <w:sz w:val="56"/>
        </w:rPr>
        <w:t>每日市场情报</w:t>
      </w:r>
    </w:p>
    <w:p>
      <w:pPr>
        <w:jc w:val="center"/>
      </w:pPr>
      <w:r>
        <w:rPr>
          <w:rFonts w:ascii="Aptos" w:hAnsi="Aptos" w:eastAsia="Noto Sans CJK SC"/>
          <w:b/>
          <w:color w:val="39536C"/>
          <w:sz w:val="36"/>
        </w:rPr>
        <w:t>2026-08-20｜早盘临时执行版</w:t>
      </w:r>
    </w:p>
    <w:p>
      <w:pPr>
        <w:spacing w:before="400"/>
        <w:jc w:val="center"/>
      </w:pPr>
      <w:r>
        <w:rPr>
          <w:rFonts w:ascii="Aptos" w:hAnsi="Aptos" w:eastAsia="Noto Sans CJK SC"/>
          <w:color w:val="50555A"/>
          <w:sz w:val="23"/>
        </w:rPr>
        <w:t>数据截止：2026-08-20 09:59（北京时间）</w:t>
      </w:r>
    </w:p>
    <w:p>
      <w:pPr>
        <w:jc w:val="center"/>
      </w:pPr>
      <w:r>
        <w:rPr>
          <w:rFonts w:ascii="Aptos" w:hAnsi="Aptos" w:eastAsia="Noto Sans CJK SC"/>
          <w:color w:val="6E6E6E"/>
          <w:sz w:val="19"/>
        </w:rPr>
        <w:t>Run ID: 2026-08-20-1000-MANUAL</w:t>
      </w:r>
    </w:p>
    <w:tbl>
      <w:tblPr>
        <w:tblW w:type="auto" w:w="0"/>
        <w:jc w:val="center"/>
        <w:tblLayout w:type="autofit"/>
        <w:tblLook w:firstColumn="1" w:firstRow="1" w:lastColumn="0" w:lastRow="0" w:noHBand="0" w:noVBand="1" w:val="04A0"/>
      </w:tblPr>
      <w:tblGrid>
        <w:gridCol w:w="10256"/>
      </w:tblGrid>
      <w:tr>
        <w:tc>
          <w:tcPr>
            <w:tcW w:type="dxa" w:w="10256"/>
            <w:shd w:fill="F3F5F7"/>
            <w:tcMar>
              <w:top w:w="120" w:type="dxa"/>
              <w:start w:w="160" w:type="dxa"/>
              <w:bottom w:w="120" w:type="dxa"/>
              <w:end w:w="160" w:type="dxa"/>
            </w:tcMar>
          </w:tcPr>
          <w:p>
            <w:pPr>
              <w:keepLines/>
              <w:spacing w:after="0" w:line="283" w:lineRule="auto"/>
            </w:pPr>
            <w:r>
              <w:rPr>
                <w:rFonts w:ascii="Aptos" w:hAnsi="Aptos" w:eastAsia="Noto Sans CJK SC"/>
                <w:b w:val="0"/>
                <w:color w:val="464B50"/>
                <w:sz w:val="18"/>
              </w:rPr>
              <w:t>说明：本次为用户手动触发的早盘临时版，并非计划中的08:00/12:00/20:00正式时点。A股早盘仅使用09:25开盘快照及截至09:59可核验的新闻；无法可靠取得的实时指数/资金数据明确标注缺口。2026-08-20《新闻联播》尚未播出，且检索未获得2026-08-19完整官方文字稿，因此不伪造节目编排、时长或措辞强度。</w:t>
            </w:r>
          </w:p>
        </w:tc>
      </w:tr>
    </w:tbl>
    <w:p>
      <w:pPr>
        <w:spacing w:after="0"/>
      </w:pPr>
    </w:p>
    <w:p>
      <w:r>
        <w:br w:type="page"/>
      </w:r>
    </w:p>
    <w:p>
      <w:pPr>
        <w:pStyle w:val="Heading1"/>
        <w:keepNext/>
      </w:pPr>
      <w:r>
        <w:t>0. 执行摘要</w:t>
      </w:r>
    </w:p>
    <w:p>
      <w:pPr>
        <w:pStyle w:val="ListBullet"/>
        <w:spacing w:after="40" w:line="283" w:lineRule="auto"/>
      </w:pPr>
      <w:r>
        <w:rPr>
          <w:rFonts w:ascii="Aptos" w:hAnsi="Aptos" w:eastAsia="Noto Sans CJK SC"/>
          <w:b w:val="0"/>
          <w:sz w:val="20"/>
        </w:rPr>
        <w:t>全球定价的最大新增变量来自美国长端国债：美国财政部宣布将较长期名义附息国债的流动性支持回购单次规模至少翻倍至40亿美元，长端美债收益率一度下行约10bp；美元指数跌至98.80，黄金单日上涨约4%。这更像“流动性/市场功能支持”，而不是货币政策转向或QE。</w:t>
      </w:r>
    </w:p>
    <w:p>
      <w:pPr>
        <w:pStyle w:val="ListBullet"/>
        <w:spacing w:after="40" w:line="283" w:lineRule="auto"/>
      </w:pPr>
      <w:r>
        <w:rPr>
          <w:rFonts w:ascii="Aptos" w:hAnsi="Aptos" w:eastAsia="Noto Sans CJK SC"/>
          <w:b w:val="0"/>
          <w:sz w:val="20"/>
        </w:rPr>
        <w:t>中国8月LPR确认连续第15个月保持不变：1年期3.00%、5年期以上3.50%。这强化了“近期更依赖财政执行与重大项目，而非立即降息”的政策组合判断。</w:t>
      </w:r>
    </w:p>
    <w:p>
      <w:pPr>
        <w:pStyle w:val="ListBullet"/>
        <w:spacing w:after="40" w:line="283" w:lineRule="auto"/>
      </w:pPr>
      <w:r>
        <w:rPr>
          <w:rFonts w:ascii="Aptos" w:hAnsi="Aptos" w:eastAsia="Noto Sans CJK SC"/>
          <w:b w:val="0"/>
          <w:sz w:val="20"/>
        </w:rPr>
        <w:t>A股8月19日经历强烈风险释放：沪指-2.40%、深成指-5.01%、创业板-6.26%，全市场超5000只个股下跌；科技硬件、存储、人形机器人显著承压。8月20日09:25三大指数集体高开，沪指+0.33%、深成指+1.03%、创业板+1.27%，但仅凭开盘无法确认风险偏好已修复。</w:t>
      </w:r>
    </w:p>
    <w:p>
      <w:pPr>
        <w:pStyle w:val="ListBullet"/>
        <w:spacing w:after="40" w:line="283" w:lineRule="auto"/>
      </w:pPr>
      <w:r>
        <w:rPr>
          <w:rFonts w:ascii="Aptos" w:hAnsi="Aptos" w:eastAsia="Noto Sans CJK SC"/>
          <w:b w:val="0"/>
          <w:sz w:val="20"/>
        </w:rPr>
        <w:t>结构上出现“高估值科技去杠杆 vs. 新经济一级/IPO稀缺性溢价”的明显背离：宇树科技8月19日上市收涨460.34%，约500亿美元估值，而同日CSI300与科技板块明显下跌。主题仍强，但二级市场开始更严厉区分商业化、盈利质量和估值。</w:t>
      </w:r>
    </w:p>
    <w:p>
      <w:pPr>
        <w:pStyle w:val="ListBullet"/>
        <w:spacing w:after="40" w:line="283" w:lineRule="auto"/>
      </w:pPr>
      <w:r>
        <w:rPr>
          <w:rFonts w:ascii="Aptos" w:hAnsi="Aptos" w:eastAsia="Noto Sans CJK SC"/>
          <w:b w:val="0"/>
          <w:sz w:val="20"/>
        </w:rPr>
        <w:t>油价仍是通胀与风险溢价的核心尾部变量：布伦特10月合约约91.87美元/桶，霍尔木兹海峡通航不确定性持续；同时美国原油库存意外增加440万桶，构成对油价上行的反证。</w:t>
      </w:r>
    </w:p>
    <w:p>
      <w:pPr>
        <w:pStyle w:val="ListBullet"/>
        <w:spacing w:after="40" w:line="283" w:lineRule="auto"/>
      </w:pPr>
      <w:r>
        <w:rPr>
          <w:rFonts w:ascii="Aptos" w:hAnsi="Aptos" w:eastAsia="Noto Sans CJK SC"/>
          <w:b w:val="0"/>
          <w:sz w:val="20"/>
        </w:rPr>
        <w:t>政策代理信号方面，“六张网”尤其算力网、新型电网、新一代通信网的协同建设仍是十五五重大项目的重要抓手；当前更值得跟踪的是项目资本开支、订单和利用率，而不是仅根据政策关键词进行板块映射。</w:t>
      </w:r>
    </w:p>
    <w:p>
      <w:pPr>
        <w:pStyle w:val="ListBullet"/>
        <w:spacing w:after="40" w:line="283" w:lineRule="auto"/>
      </w:pPr>
      <w:r>
        <w:rPr>
          <w:rFonts w:ascii="Aptos" w:hAnsi="Aptos" w:eastAsia="Noto Sans CJK SC"/>
          <w:b w:val="0"/>
          <w:sz w:val="20"/>
        </w:rPr>
        <w:t>《新闻联播》模块本次保持“证据不足即不判断”的原则：2026-08-20节目尚未播出，2026-08-19完整官方稿未取得。报告仅列出可由官方/高质量来源核验的政策代理信号，不将其冒充为昨晚节目内容。</w:t>
      </w:r>
    </w:p>
    <w:p>
      <w:pPr>
        <w:pStyle w:val="Heading1"/>
        <w:keepNext/>
      </w:pPr>
      <w:r>
        <w:t>1. 一句话市场状态</w:t>
      </w:r>
    </w:p>
    <w:p>
      <w:pPr>
        <w:spacing w:after="80" w:line="283" w:lineRule="auto"/>
      </w:pPr>
      <w:r>
        <w:rPr>
          <w:rFonts w:ascii="Aptos" w:hAnsi="Aptos" w:eastAsia="Noto Sans CJK SC"/>
          <w:b w:val="0"/>
          <w:sz w:val="21"/>
        </w:rPr>
        <w:t>风险偏好处于“急跌后的技术性修复尝试”阶段：</w:t>
      </w:r>
      <w:r>
        <w:rPr>
          <w:rFonts w:ascii="Aptos" w:hAnsi="Aptos" w:eastAsia="Noto Sans CJK SC"/>
          <w:b w:val="0"/>
          <w:sz w:val="21"/>
        </w:rPr>
        <w:t>全球长端利率短线回落改善估值压力，但国内货币政策没有新增宽松、油价维持高位、A股前一日高β科技出现广泛去杠杆，因而开盘反弹尚不能被定义为趋势反转。</w:t>
      </w:r>
    </w:p>
    <w:p>
      <w:pPr>
        <w:pStyle w:val="Heading1"/>
        <w:keepNext/>
      </w:pPr>
      <w:r>
        <w:t>2. 市场仪表盘</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窗口</w:t>
            </w:r>
          </w:p>
        </w:tc>
        <w:tc>
          <w:tcPr>
            <w:tcW w:type="dxa" w:w="2051"/>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指标1</w:t>
            </w:r>
          </w:p>
        </w:tc>
        <w:tc>
          <w:tcPr>
            <w:tcW w:type="dxa" w:w="2051"/>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指标2</w:t>
            </w:r>
          </w:p>
        </w:tc>
        <w:tc>
          <w:tcPr>
            <w:tcW w:type="dxa" w:w="2051"/>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指标3</w:t>
            </w:r>
          </w:p>
        </w:tc>
        <w:tc>
          <w:tcPr>
            <w:tcW w:type="dxa" w:w="2051"/>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解释/数据质量</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A股｜2026-08-19收盘</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上证 3894.42（-2.40%）</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深成指 13890.15（-5.01%）</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创业板 3473.49（-6.26%）</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全市场超5000股下跌；科创50 -6.89%</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A股｜2026-08-20 09:25开盘</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上证 3907.21（+0.33%）</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深成指 14032.97（+1.03%）</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创业板 3517.65（+1.27%）</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医药方向高开；仅为开盘快照</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美股｜2026-08-19收盘</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S&amp;P 500 +0.21%</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Nasdaq +0.16%</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Dow +0.22%</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财政部回购操作缓和长端利率冲击</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美元/美债</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DXY 98.80（-0.84%）</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美国长端收益率一度下行约10bp</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30Y前一日曾接近5.34%</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仍需警惕财政/通胀压力再度抬升</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黄金｜08-20 00:31 GMT</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现货 4512.19美元/盎司</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前一日+4.05%</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日内高 4525.79</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受低收益率、美元走弱与地缘风险支持</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原油｜08-20 00:37 GMT</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Brent 91.87美元/桶</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WTI Sep 85.81</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WTI Oct 84.53</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霍尔木兹不确定性 vs. 美国库存增加</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中国LPR｜08-20</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1Y 3.00%</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5Y+ 3.50%</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连续第15个月不变</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政策组合偏“财政执行+结构支持”</w:t>
            </w:r>
          </w:p>
        </w:tc>
      </w:tr>
      <w:tr>
        <w:trPr>
          <w:cantSplit/>
        </w:trPr>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港股｜本次数据缺口</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未取得09:59可靠实时HSI</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不填估计值</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HKEX H1净利+24%</w:t>
            </w:r>
          </w:p>
        </w:tc>
        <w:tc>
          <w:tcPr>
            <w:tcW w:type="dxa" w:w="2051"/>
            <w:vAlign w:val="top"/>
            <w:tcMar>
              <w:top w:w="80" w:type="dxa"/>
              <w:start w:w="100" w:type="dxa"/>
              <w:bottom w:w="80" w:type="dxa"/>
              <w:end w:w="100" w:type="dxa"/>
            </w:tcMar>
          </w:tcPr>
          <w:p>
            <w:pPr>
              <w:keepLines/>
              <w:spacing w:after="0" w:line="259" w:lineRule="auto"/>
            </w:pPr>
            <w:r>
              <w:rPr>
                <w:rFonts w:ascii="Aptos" w:hAnsi="Aptos" w:eastAsia="Noto Sans CJK SC"/>
                <w:b w:val="0"/>
                <w:sz w:val="16"/>
              </w:rPr>
              <w:t>IPO/成交生态仍强，但短线指数待核验</w:t>
            </w:r>
          </w:p>
        </w:tc>
      </w:tr>
    </w:tbl>
    <w:tbl>
      <w:tblPr>
        <w:tblW w:type="auto" w:w="0"/>
        <w:jc w:val="center"/>
        <w:tblLayout w:type="autofit"/>
        <w:tblLook w:firstColumn="1" w:firstRow="1" w:lastColumn="0" w:lastRow="0" w:noHBand="0" w:noVBand="1" w:val="04A0"/>
      </w:tblPr>
      <w:tblGrid>
        <w:gridCol w:w="10256"/>
      </w:tblGrid>
      <w:tr>
        <w:tc>
          <w:tcPr>
            <w:tcW w:type="dxa" w:w="10256"/>
            <w:shd w:fill="F3F5F7"/>
            <w:tcMar>
              <w:top w:w="120" w:type="dxa"/>
              <w:start w:w="160" w:type="dxa"/>
              <w:bottom w:w="120" w:type="dxa"/>
              <w:end w:w="160" w:type="dxa"/>
            </w:tcMar>
          </w:tcPr>
          <w:p>
            <w:pPr>
              <w:keepLines/>
              <w:spacing w:after="0" w:line="283" w:lineRule="auto"/>
            </w:pPr>
            <w:r>
              <w:rPr>
                <w:rFonts w:ascii="Aptos" w:hAnsi="Aptos" w:eastAsia="Noto Sans CJK SC"/>
                <w:b w:val="0"/>
                <w:color w:val="464B50"/>
                <w:sz w:val="18"/>
              </w:rPr>
              <w:t>实时性边界：本次A股可核验到09:25开盘值；Sina实时指数页面的动态报价字段未被检索器解析，因此不将页面占位符当成09:59行情。港股同理。</w:t>
            </w:r>
          </w:p>
        </w:tc>
      </w:tr>
    </w:tbl>
    <w:p>
      <w:pPr>
        <w:spacing w:after="0"/>
      </w:pPr>
    </w:p>
    <w:p>
      <w:pPr>
        <w:pStyle w:val="Heading1"/>
        <w:keepNext/>
      </w:pPr>
      <w:r>
        <w:t>3. Top 3 市场事件 / 趋势</w:t>
      </w:r>
    </w:p>
    <w:p>
      <w:pPr>
        <w:pStyle w:val="Heading2"/>
        <w:keepNext/>
      </w:pPr>
      <w:r>
        <w:t>Top 1｜美国财政部扩大长债回购：短线压低折现率，但不是QE</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维度</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评分</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依据</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市场影响</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15/15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直接影响全球长端收益率、美元、黄金与股票估值</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基本面/估值</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18/20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主要通过折现率、融资成本与市场流动性传导</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新增信息/预期差</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15/15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单次流动性支持回购规模至少翻倍至40亿美元</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证据可靠性</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15/15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Reuters直接报道财政部操作</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持续性/传导</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若后续进一步调整拍卖/回购结构，影响可延续；当前仍偏短期</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估值/风险溢价</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10/10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长端收益率是风险资产核心折现率</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可验证/时效/跨市场</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9/10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可由美债、DXY、黄金、股指连续验证</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总分</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90/100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高置信；但“政策转向”解释需克制</w:t>
            </w:r>
          </w:p>
        </w:tc>
      </w:tr>
    </w:tbl>
    <w:p>
      <w:pPr>
        <w:pStyle w:val="ListBullet"/>
        <w:spacing w:after="40" w:line="283" w:lineRule="auto"/>
      </w:pPr>
      <w:r>
        <w:rPr>
          <w:rFonts w:ascii="Aptos" w:hAnsi="Aptos" w:eastAsia="Noto Sans CJK SC"/>
          <w:b w:val="0"/>
          <w:sz w:val="20"/>
        </w:rPr>
        <w:t>已确认事实：美国财政部把较长期名义附息国债的流动性支持回购操作单次规模从20亿美元提高到至少40亿美元；美国长端国债收益率一度下行约10bp。</w:t>
      </w:r>
    </w:p>
    <w:p>
      <w:pPr>
        <w:pStyle w:val="ListBullet"/>
        <w:spacing w:after="40" w:line="283" w:lineRule="auto"/>
      </w:pPr>
      <w:r>
        <w:rPr>
          <w:rFonts w:ascii="Aptos" w:hAnsi="Aptos" w:eastAsia="Noto Sans CJK SC"/>
          <w:b w:val="0"/>
          <w:sz w:val="20"/>
        </w:rPr>
        <w:t>市场定价：8月19日DXY下跌0.84%至98.80，现货黄金上涨4.05%至4508.64美元/盎司，美股三大指数小幅收涨。</w:t>
      </w:r>
    </w:p>
    <w:p>
      <w:pPr>
        <w:pStyle w:val="ListBullet"/>
        <w:spacing w:after="40" w:line="283" w:lineRule="auto"/>
      </w:pPr>
      <w:r>
        <w:rPr>
          <w:rFonts w:ascii="Aptos" w:hAnsi="Aptos" w:eastAsia="Noto Sans CJK SC"/>
          <w:b w:val="0"/>
          <w:sz w:val="20"/>
        </w:rPr>
        <w:t>传导链：财政部改善长端国债市场流动性 → 长端收益率下行 → 全球无风险折现率下降 → 高久期成长资产估值压力边际缓解；同时美元走弱、财政可持续性担忧上升 → 黄金等硬资产获益。</w:t>
      </w:r>
    </w:p>
    <w:p>
      <w:pPr>
        <w:pStyle w:val="ListBullet"/>
        <w:spacing w:after="40" w:line="283" w:lineRule="auto"/>
      </w:pPr>
      <w:r>
        <w:rPr>
          <w:rFonts w:ascii="Aptos" w:hAnsi="Aptos" w:eastAsia="Noto Sans CJK SC"/>
          <w:b w:val="0"/>
          <w:sz w:val="20"/>
        </w:rPr>
        <w:t>最强反方解释：回购是市场功能和流动性管理，不等同于美联储QE；美国债务突破40万亿美元、通胀风险与油价高位意味着长端收益率的结构性上行压力并未消失。</w:t>
      </w:r>
    </w:p>
    <w:p>
      <w:pPr>
        <w:pStyle w:val="ListBullet"/>
        <w:spacing w:after="40" w:line="283" w:lineRule="auto"/>
      </w:pPr>
      <w:r>
        <w:rPr>
          <w:rFonts w:ascii="Aptos" w:hAnsi="Aptos" w:eastAsia="Noto Sans CJK SC"/>
          <w:b w:val="0"/>
          <w:sz w:val="20"/>
        </w:rPr>
        <w:t>验证指标：美国30Y/10Y收益率是否在未来1周继续下行；财政部是否调整长端拍卖规模；DXY能否持续低于99；高估值科技对利率下降的弹性是否恢复。</w:t>
      </w:r>
    </w:p>
    <w:p>
      <w:pPr>
        <w:pStyle w:val="ListBullet"/>
        <w:spacing w:after="40" w:line="283" w:lineRule="auto"/>
      </w:pPr>
      <w:r>
        <w:rPr>
          <w:rFonts w:ascii="Aptos" w:hAnsi="Aptos" w:eastAsia="Noto Sans CJK SC"/>
          <w:b w:val="0"/>
          <w:sz w:val="20"/>
        </w:rPr>
        <w:t>证伪条件：长端收益率迅速重返前高并伴随美元反弹、黄金回落，说明本次流动性支持仅产生瞬时影响。</w:t>
      </w:r>
    </w:p>
    <w:p>
      <w:pPr>
        <w:pStyle w:val="Heading2"/>
        <w:keepNext/>
      </w:pPr>
      <w:r>
        <w:t>Top 2｜中国LPR连续第15个月不变：政策重点更偏向财政执行与重大项目</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维度</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评分</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依据</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市场影响</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13/15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直接影响地产、银行、信用与估值预期</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基本面/估值</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17/20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贷款定价不降意味着总量宽松未新增</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新增信息/预期差</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9/15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结果符合一致预期，新增量主要在确认而非 surprise</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证据可靠性</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15/15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Reuters确认实际结果；与中国货币网机制一致</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持续性/传导</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9/10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强化下半年财政项目执行主线</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估值/风险溢价</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对地产/银行/成长风格影响方向不同</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可验证/时效/跨市场</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9/10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可从社融、基建投资、项目开工、银行NIM验证</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总分</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80/100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高置信；市场预期已较充分</w:t>
            </w:r>
          </w:p>
        </w:tc>
      </w:tr>
    </w:tbl>
    <w:p>
      <w:pPr>
        <w:pStyle w:val="ListBullet"/>
        <w:spacing w:after="40" w:line="283" w:lineRule="auto"/>
      </w:pPr>
      <w:r>
        <w:rPr>
          <w:rFonts w:ascii="Aptos" w:hAnsi="Aptos" w:eastAsia="Noto Sans CJK SC"/>
          <w:b w:val="0"/>
          <w:sz w:val="20"/>
        </w:rPr>
        <w:t>已确认事实：8月20日1年期LPR维持3.00%，5年期以上LPR维持3.50%，连续第15个月不变。</w:t>
      </w:r>
    </w:p>
    <w:p>
      <w:pPr>
        <w:pStyle w:val="ListBullet"/>
        <w:spacing w:after="40" w:line="283" w:lineRule="auto"/>
      </w:pPr>
      <w:r>
        <w:rPr>
          <w:rFonts w:ascii="Aptos" w:hAnsi="Aptos" w:eastAsia="Noto Sans CJK SC"/>
          <w:b w:val="0"/>
          <w:sz w:val="20"/>
        </w:rPr>
        <w:t>机制：在银行净息差接近历史低位、人民币约束缓和但经济需求偏弱的背景下，继续降LPR会进一步压缩银行资产端收益。政策更可能通过财政支出、存量重大项目加速、结构性金融工具与行业政策支撑增长。</w:t>
      </w:r>
    </w:p>
    <w:p>
      <w:pPr>
        <w:pStyle w:val="ListBullet"/>
        <w:spacing w:after="40" w:line="283" w:lineRule="auto"/>
      </w:pPr>
      <w:r>
        <w:rPr>
          <w:rFonts w:ascii="Aptos" w:hAnsi="Aptos" w:eastAsia="Noto Sans CJK SC"/>
          <w:b w:val="0"/>
          <w:sz w:val="20"/>
        </w:rPr>
        <w:t>市场映射：银行板块可能受“净息差不再继续被总量降息快速压缩”边际支持；地产端则缺少新的5Y LPR下调催化；基建、电网、算力、通信等与十五五重大项目相关方向的订单兑现比利率故事更重要。</w:t>
      </w:r>
    </w:p>
    <w:p>
      <w:pPr>
        <w:pStyle w:val="ListBullet"/>
        <w:spacing w:after="40" w:line="283" w:lineRule="auto"/>
      </w:pPr>
      <w:r>
        <w:rPr>
          <w:rFonts w:ascii="Aptos" w:hAnsi="Aptos" w:eastAsia="Noto Sans CJK SC"/>
          <w:b w:val="0"/>
          <w:sz w:val="20"/>
        </w:rPr>
        <w:t>反方解释：LPR不变不代表金融条件收紧。央行仍可通过流动性工具、结构性工具、存款利率与财政协同降低实体融资成本。</w:t>
      </w:r>
    </w:p>
    <w:p>
      <w:pPr>
        <w:pStyle w:val="ListBullet"/>
        <w:spacing w:after="40" w:line="283" w:lineRule="auto"/>
      </w:pPr>
      <w:r>
        <w:rPr>
          <w:rFonts w:ascii="Aptos" w:hAnsi="Aptos" w:eastAsia="Noto Sans CJK SC"/>
          <w:b w:val="0"/>
          <w:sz w:val="20"/>
        </w:rPr>
        <w:t>验证指标：专项债/预算内投资形成实物工作量的速度；“六张网”项目招标与资本开支；银行NIM；居民中长期贷款与地产销售。</w:t>
      </w:r>
    </w:p>
    <w:p>
      <w:pPr>
        <w:pStyle w:val="ListBullet"/>
        <w:spacing w:after="40" w:line="283" w:lineRule="auto"/>
      </w:pPr>
      <w:r>
        <w:rPr>
          <w:rFonts w:ascii="Aptos" w:hAnsi="Aptos" w:eastAsia="Noto Sans CJK SC"/>
          <w:b w:val="0"/>
          <w:sz w:val="20"/>
        </w:rPr>
        <w:t>证伪条件：若后续需求明显恶化且政策快速转向降准降息，则“财政优先、总量利率稳定”的组合判断需要修正。</w:t>
      </w:r>
    </w:p>
    <w:p>
      <w:pPr>
        <w:pStyle w:val="Heading2"/>
        <w:keepNext/>
      </w:pPr>
      <w:r>
        <w:t>Top 3｜A股科技高β去杠杆后尝试修复：主题仍在，定价纪律明显收紧</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维度</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评分</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7"/>
              </w:rPr>
              <w:t>依据</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市场影响</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15/15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8月19日全市场超5000只下跌，成长指数大幅回撤</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基本面/估值</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16/20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AI硬件/机器人高估值进入盈利与商业化再审视</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新增信息/预期差</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13/15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宇树IPO极强与二级科技暴跌形成反常背离</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证据可靠性</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14/15</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Sina收盘数据 + Reuters宇树报道</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持续性/传导</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风格切换可能延续，但短线存在超跌修复</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估值/风险溢价</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10/10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核心就是估值和风险偏好再定价</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可验证/时效/跨市场</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8/10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今日开盘已出现反弹，需要午盘/收盘继续验证</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总分</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84/100</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7"/>
              </w:rPr>
              <w:t>中高置信；09:59实时广度仍有数据缺口</w:t>
            </w:r>
          </w:p>
        </w:tc>
      </w:tr>
    </w:tbl>
    <w:p>
      <w:pPr>
        <w:pStyle w:val="ListBullet"/>
        <w:spacing w:after="40" w:line="283" w:lineRule="auto"/>
      </w:pPr>
      <w:r>
        <w:rPr>
          <w:rFonts w:ascii="Aptos" w:hAnsi="Aptos" w:eastAsia="Noto Sans CJK SC"/>
          <w:b w:val="0"/>
          <w:sz w:val="20"/>
        </w:rPr>
        <w:t>8月19日收盘：沪指-2.40%、深成指-5.01%、创业板-6.26%、科创50-6.89%，超5000只个股下跌。算力硬件、存储芯片、人形机器人是主要承压方向，银行与煤炭相对抗跌。</w:t>
      </w:r>
    </w:p>
    <w:p>
      <w:pPr>
        <w:pStyle w:val="ListBullet"/>
        <w:spacing w:after="40" w:line="283" w:lineRule="auto"/>
      </w:pPr>
      <w:r>
        <w:rPr>
          <w:rFonts w:ascii="Aptos" w:hAnsi="Aptos" w:eastAsia="Noto Sans CJK SC"/>
          <w:b w:val="0"/>
          <w:sz w:val="20"/>
        </w:rPr>
        <w:t>同日宇树科技上市收报845元，较150.8元发行价上涨460.34%，约500亿美元市值；Reuters同时指出其商业环境中的机器人使用仍有限，未来产品还面临美国市场限制。</w:t>
      </w:r>
    </w:p>
    <w:p>
      <w:pPr>
        <w:pStyle w:val="ListBullet"/>
        <w:spacing w:after="40" w:line="283" w:lineRule="auto"/>
      </w:pPr>
      <w:r>
        <w:rPr>
          <w:rFonts w:ascii="Aptos" w:hAnsi="Aptos" w:eastAsia="Noto Sans CJK SC"/>
          <w:b w:val="0"/>
          <w:sz w:val="20"/>
        </w:rPr>
        <w:t>8月20日09:25开盘：沪指+0.33%、深成指+1.03%、创业板+1.27%，说明出现超跌修复，但尚不能确认“风险偏好恢复”。</w:t>
      </w:r>
    </w:p>
    <w:p>
      <w:pPr>
        <w:pStyle w:val="ListBullet"/>
        <w:spacing w:after="40" w:line="283" w:lineRule="auto"/>
      </w:pPr>
      <w:r>
        <w:rPr>
          <w:rFonts w:ascii="Aptos" w:hAnsi="Aptos" w:eastAsia="Noto Sans CJK SC"/>
          <w:b w:val="0"/>
          <w:sz w:val="20"/>
        </w:rPr>
        <w:t>机制：全球长端利率冲击 + 高估值拥挤 + 产业商业化节奏不均 → 高β科技去杠杆；IPO稀缺标的依靠首发稀缺性、政策象征性和资源获取能力仍获得极高溢价。</w:t>
      </w:r>
    </w:p>
    <w:p>
      <w:pPr>
        <w:pStyle w:val="ListBullet"/>
        <w:spacing w:after="40" w:line="283" w:lineRule="auto"/>
      </w:pPr>
      <w:r>
        <w:rPr>
          <w:rFonts w:ascii="Aptos" w:hAnsi="Aptos" w:eastAsia="Noto Sans CJK SC"/>
          <w:b w:val="0"/>
          <w:sz w:val="20"/>
        </w:rPr>
        <w:t>反方解释：若今日成长板块能在高成交下修复并形成更广的上涨家数，昨天可能主要是外部利率冲击与短线拥挤释放，而非产业逻辑破坏。</w:t>
      </w:r>
    </w:p>
    <w:p>
      <w:pPr>
        <w:pStyle w:val="ListBullet"/>
        <w:spacing w:after="40" w:line="283" w:lineRule="auto"/>
      </w:pPr>
      <w:r>
        <w:rPr>
          <w:rFonts w:ascii="Aptos" w:hAnsi="Aptos" w:eastAsia="Noto Sans CJK SC"/>
          <w:b w:val="0"/>
          <w:sz w:val="20"/>
        </w:rPr>
        <w:t>验证指标：今日午盘/收盘创业板和科创50相对沪指强弱；CPO/半导体/机器人龙头是否止跌；成交额是否放大但不再出现广泛跌停；宇树后续成交和机构定价是否快速回归基本面。</w:t>
      </w:r>
    </w:p>
    <w:p>
      <w:pPr>
        <w:pStyle w:val="Heading1"/>
        <w:keepNext/>
      </w:pPr>
      <w:r>
        <w:t>4. 市场结构：从“高估值拥挤”向“盈利/防御/政策资本开支”再平衡</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方向</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当前证据</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可能驱动</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需验证</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银行</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8月19日逆势走强；二季度商业银行NIM 1.41%，环比+1bp</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LPR稳定缓解资产端继续快速下压的预期</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资产质量、信贷需求、息差能否连续改善</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煤炭/资源</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8月19日煤炭相对强；焦炭提涨预期</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供给收缩、商品通胀、油价高位</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现货价格与产量、宏观需求</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医药</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8月20日开盘医药方向明显走强</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海外创新药/疫苗事件 + 国内健康/医保政策背景</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事件可持续性与业绩兑现；避免把单一临床新闻泛化</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AI硬件/半导体</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8月19日显著下跌</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高估值/拥挤、全球半导体联动、利率冲击</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毛利率、订单、CapEx、海外限制、估值消化</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机器人</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指数/板块8月19日重挫，但宇树IPO极强</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主题稀缺性与二级市场估值纪律分化</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商业化部署、订单、毛利、量产成本</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算力/电网/通信基础设施</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“六张网”在十五五投资体系中持续强化</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财政项目与新型基础设施资本开支</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招标、设备出货、利用率和回款</w:t>
            </w:r>
          </w:p>
        </w:tc>
      </w:tr>
    </w:tbl>
    <w:p>
      <w:pPr>
        <w:pStyle w:val="Heading1"/>
        <w:keepNext/>
      </w:pPr>
      <w:r>
        <w:t>5. 跨资产验证</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信号</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方向</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相互验证/冲突</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研究含义</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美债长端↓ + 美元↓ + 黄金↑</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一致</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共同指向财政流动性操作后美元资产风险溢价/实际利率压力缓和</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有利于全球成长估值短线喘息，但也反映财政可信度担忧</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美债长端↓ + 油价高位</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冲突</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折现率压力下降，但能源通胀仍高</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若油价继续上行，可能重新推升通胀与长端收益率</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A股开盘反弹 + 前日广泛大跌</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待验证</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开盘修复可能是技术性反弹，不等于趋势反转</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午盘/收盘广度与成长风格相对强弱最关键</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LPR不变 + 六张网项目政策</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一致</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政策更偏项目/财政与结构性投入，而非总量利率刺激</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关注真实资本开支和订单而非关键词交易</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HKEX业绩强 + 科技个股波动大</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并存</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香港市场生态活跃不等于每个成长股估值稳定</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交易与融资平台盈利可受益于高成交/IPO，同时个股分化加剧</w:t>
            </w:r>
          </w:p>
        </w:tc>
      </w:tr>
    </w:tbl>
    <w:p>
      <w:pPr>
        <w:pStyle w:val="Heading1"/>
        <w:keepNext/>
      </w:pPr>
      <w:r>
        <w:t>6. 《新闻联播》与政策信号模块</w:t>
      </w:r>
    </w:p>
    <w:tbl>
      <w:tblPr>
        <w:tblW w:type="auto" w:w="0"/>
        <w:jc w:val="center"/>
        <w:tblLayout w:type="autofit"/>
        <w:tblLook w:firstColumn="1" w:firstRow="1" w:lastColumn="0" w:lastRow="0" w:noHBand="0" w:noVBand="1" w:val="04A0"/>
      </w:tblPr>
      <w:tblGrid>
        <w:gridCol w:w="10256"/>
      </w:tblGrid>
      <w:tr>
        <w:tc>
          <w:tcPr>
            <w:tcW w:type="dxa" w:w="10256"/>
            <w:shd w:fill="F3F5F7"/>
            <w:tcMar>
              <w:top w:w="120" w:type="dxa"/>
              <w:start w:w="160" w:type="dxa"/>
              <w:bottom w:w="120" w:type="dxa"/>
              <w:end w:w="160" w:type="dxa"/>
            </w:tcMar>
          </w:tcPr>
          <w:p>
            <w:pPr>
              <w:keepLines/>
              <w:spacing w:after="0" w:line="283" w:lineRule="auto"/>
            </w:pPr>
            <w:r>
              <w:rPr>
                <w:rFonts w:ascii="Aptos" w:hAnsi="Aptos" w:eastAsia="Noto Sans CJK SC"/>
                <w:b w:val="0"/>
                <w:color w:val="464B50"/>
                <w:sz w:val="18"/>
              </w:rPr>
              <w:t>证据边界：2026-08-20《新闻联播》将在晚间播出，本次09:59运行不可能分析当天节目；检索亦未获得2026-08-19可核验的完整官方文字稿。因此本节不输出“节目Top 3”“编排顺序/时长/措辞升级”，仅给出与市场高度相关、可由官方或高质量来源核验的政策代理信号。20:00正式任务应重新抓取完整稿并进行三日对照。</w:t>
            </w:r>
          </w:p>
        </w:tc>
      </w:tr>
    </w:tbl>
    <w:p>
      <w:pPr>
        <w:spacing w:after="0"/>
      </w:pPr>
    </w:p>
    <w:p>
      <w:pPr>
        <w:pStyle w:val="Heading2"/>
        <w:keepNext/>
      </w:pPr>
      <w:r>
        <w:t>政策代理信号 A｜“六张网”从规划叙事进入项目协调与资本开支阶段</w:t>
      </w:r>
    </w:p>
    <w:p>
      <w:pPr>
        <w:pStyle w:val="ListBullet"/>
        <w:spacing w:after="40" w:line="283" w:lineRule="auto"/>
      </w:pPr>
      <w:r>
        <w:rPr>
          <w:rFonts w:ascii="Aptos" w:hAnsi="Aptos" w:eastAsia="Noto Sans CJK SC"/>
          <w:b w:val="0"/>
          <w:sz w:val="20"/>
        </w:rPr>
        <w:t>官方/准官方政策材料持续把水网、新型电网、算力网、新一代通信网、城市地下管网、物流网列为“十五五”重大基础设施体系。</w:t>
      </w:r>
    </w:p>
    <w:p>
      <w:pPr>
        <w:pStyle w:val="ListBullet"/>
        <w:spacing w:after="40" w:line="283" w:lineRule="auto"/>
      </w:pPr>
      <w:r>
        <w:rPr>
          <w:rFonts w:ascii="Aptos" w:hAnsi="Aptos" w:eastAsia="Noto Sans CJK SC"/>
          <w:b w:val="0"/>
          <w:sz w:val="20"/>
        </w:rPr>
        <w:t>可验证的长期信号包括：算力网纳入国家重大工程，新型电网“十五五”投资规模被公开材料描述为超5万亿元量级；政策重点逐步从“建中心”转向“联网、调度、利用率和算电协同”。</w:t>
      </w:r>
    </w:p>
    <w:p>
      <w:pPr>
        <w:pStyle w:val="ListBullet"/>
        <w:spacing w:after="40" w:line="283" w:lineRule="auto"/>
      </w:pPr>
      <w:r>
        <w:rPr>
          <w:rFonts w:ascii="Aptos" w:hAnsi="Aptos" w:eastAsia="Noto Sans CJK SC"/>
          <w:b w:val="0"/>
          <w:sz w:val="20"/>
        </w:rPr>
        <w:t>市场映射需避免简单“政策=所有算力股利好”。优先研究设备/网络/电力资本开支、订单、项目回款和利用率，弱化纯概念软件与无订单支撑标的。</w:t>
      </w:r>
    </w:p>
    <w:p>
      <w:pPr>
        <w:pStyle w:val="Heading2"/>
        <w:keepNext/>
      </w:pPr>
      <w:r>
        <w:t>政策代理信号 B｜LPR不动强化财政与结构性工具优先级</w:t>
      </w:r>
    </w:p>
    <w:p>
      <w:pPr>
        <w:pStyle w:val="ListBullet"/>
        <w:spacing w:after="40" w:line="283" w:lineRule="auto"/>
      </w:pPr>
      <w:r>
        <w:rPr>
          <w:rFonts w:ascii="Aptos" w:hAnsi="Aptos" w:eastAsia="Noto Sans CJK SC"/>
          <w:b w:val="0"/>
          <w:sz w:val="20"/>
        </w:rPr>
        <w:t>8月LPR实际维持不变，与此前市场一致预期一致。Reuters援引分析人士认为，近期更可能通过加快财政执行支持增长。</w:t>
      </w:r>
    </w:p>
    <w:p>
      <w:pPr>
        <w:pStyle w:val="ListBullet"/>
        <w:spacing w:after="40" w:line="283" w:lineRule="auto"/>
      </w:pPr>
      <w:r>
        <w:rPr>
          <w:rFonts w:ascii="Aptos" w:hAnsi="Aptos" w:eastAsia="Noto Sans CJK SC"/>
          <w:b w:val="0"/>
          <w:sz w:val="20"/>
        </w:rPr>
        <w:t>这一组合对银行、地产和成长板块的影响并不相同：银行息差压力边际改善；地产缺少新增按揭基准利率下调；基础设施/设备链更依赖财政项目落地。</w:t>
      </w:r>
    </w:p>
    <w:p>
      <w:pPr>
        <w:pStyle w:val="Heading2"/>
        <w:keepNext/>
      </w:pPr>
      <w:r>
        <w:t>政策代理信号 C｜医疗健康与创新药支持具有中长期结构性基础，但短期交易仍需分辨事件质量</w:t>
      </w:r>
    </w:p>
    <w:p>
      <w:pPr>
        <w:pStyle w:val="ListBullet"/>
        <w:spacing w:after="40" w:line="283" w:lineRule="auto"/>
      </w:pPr>
      <w:r>
        <w:rPr>
          <w:rFonts w:ascii="Aptos" w:hAnsi="Aptos" w:eastAsia="Noto Sans CJK SC"/>
          <w:b w:val="0"/>
          <w:sz w:val="20"/>
        </w:rPr>
        <w:t>国务院《国民健康“十五五”规划》明确部署生物医药重大专项、药物/疫苗/医疗设备/脑机接口攻关，以及医疗健康数智化和高质量数据集建设。</w:t>
      </w:r>
    </w:p>
    <w:p>
      <w:pPr>
        <w:pStyle w:val="ListBullet"/>
        <w:spacing w:after="40" w:line="283" w:lineRule="auto"/>
      </w:pPr>
      <w:r>
        <w:rPr>
          <w:rFonts w:ascii="Aptos" w:hAnsi="Aptos" w:eastAsia="Noto Sans CJK SC"/>
          <w:b w:val="0"/>
          <w:sz w:val="20"/>
        </w:rPr>
        <w:t>国家医保局公开材料持续强调支持创新药和医疗器械、医保支付改革和多层次保障体系。</w:t>
      </w:r>
    </w:p>
    <w:p>
      <w:pPr>
        <w:pStyle w:val="ListBullet"/>
        <w:spacing w:after="40" w:line="283" w:lineRule="auto"/>
      </w:pPr>
      <w:r>
        <w:rPr>
          <w:rFonts w:ascii="Aptos" w:hAnsi="Aptos" w:eastAsia="Noto Sans CJK SC"/>
          <w:b w:val="0"/>
          <w:sz w:val="20"/>
        </w:rPr>
        <w:t>因此8月20日医药板块高开具备政策背景，但当天直接催化仍主要来自个别海外临床事件；不能把一家公司试验结果自动外推为整个板块盈利改善。</w:t>
      </w:r>
    </w:p>
    <w:p>
      <w:pPr>
        <w:pStyle w:val="Heading1"/>
        <w:keepNext/>
      </w:pPr>
      <w:r>
        <w:t>7. 港股与融资生态：指数实时数据缺口下的结构观察</w:t>
      </w:r>
    </w:p>
    <w:p>
      <w:pPr>
        <w:pStyle w:val="ListBullet"/>
        <w:spacing w:after="40" w:line="283" w:lineRule="auto"/>
      </w:pPr>
      <w:r>
        <w:rPr>
          <w:rFonts w:ascii="Aptos" w:hAnsi="Aptos" w:eastAsia="Noto Sans CJK SC"/>
          <w:b w:val="0"/>
          <w:sz w:val="20"/>
        </w:rPr>
        <w:t>本次09:59未获取到可可靠解析的恒生指数/恒生科技指数实时值，因此不填估计数。</w:t>
      </w:r>
    </w:p>
    <w:p>
      <w:pPr>
        <w:pStyle w:val="ListBullet"/>
        <w:spacing w:after="40" w:line="283" w:lineRule="auto"/>
      </w:pPr>
      <w:r>
        <w:rPr>
          <w:rFonts w:ascii="Aptos" w:hAnsi="Aptos" w:eastAsia="Noto Sans CJK SC"/>
          <w:b w:val="0"/>
          <w:sz w:val="20"/>
        </w:rPr>
        <w:t>可确认的中期结构：HKEX 2026年上半年净利润同比增长24%至105.7亿港元；87宗新上市共融资2120亿港元，同比增加94%；平均每日成交额2830亿港元，同比增加18%。</w:t>
      </w:r>
    </w:p>
    <w:p>
      <w:pPr>
        <w:pStyle w:val="ListBullet"/>
        <w:spacing w:after="40" w:line="283" w:lineRule="auto"/>
      </w:pPr>
      <w:r>
        <w:rPr>
          <w:rFonts w:ascii="Aptos" w:hAnsi="Aptos" w:eastAsia="Noto Sans CJK SC"/>
          <w:b w:val="0"/>
          <w:sz w:val="20"/>
        </w:rPr>
        <w:t>这说明香港市场“交易+IPO”生态仍活跃，但并不等于成长股无估值风险。8月19日百度等个股因业绩不及预期大幅承压，体现基本面定价正在加强。</w:t>
      </w:r>
    </w:p>
    <w:p>
      <w:pPr>
        <w:pStyle w:val="Heading1"/>
        <w:keepNext/>
      </w:pPr>
      <w:r>
        <w:t>8. 未来24小时风险清单</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优先级</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风险/事件</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观察窗口</w:t>
            </w:r>
          </w:p>
        </w:tc>
        <w:tc>
          <w:tcPr>
            <w:tcW w:type="dxa" w:w="2564"/>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改变判断的条件</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P0</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A股急跌后的反弹质量</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今天午盘/收盘</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成长指数相对沪指转强、上涨广度改善且成交不出现放量滞涨</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P0</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美国长端收益率是否重新上冲</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美盘前后</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30Y/10Y快速收复回购公告后的跌幅，将重新压制全球高久期资产</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P0</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霍尔木兹与油价</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全天</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Brent突破前高并伴随航运进一步受阻，通胀/风险溢价重新抬升</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P1</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国内财政/六张网项目增量信息</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未来1周</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出现明确预算、项目清单、招标/开工和设备采购，而非仅口号</w:t>
            </w:r>
          </w:p>
        </w:tc>
      </w:tr>
      <w:tr>
        <w:trPr>
          <w:cantSplit/>
        </w:trPr>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P1</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今日19:00《新闻联播》</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20:00复核</w:t>
            </w:r>
          </w:p>
        </w:tc>
        <w:tc>
          <w:tcPr>
            <w:tcW w:type="dxa" w:w="2564"/>
            <w:vAlign w:val="top"/>
            <w:tcMar>
              <w:top w:w="80" w:type="dxa"/>
              <w:start w:w="100" w:type="dxa"/>
              <w:bottom w:w="80" w:type="dxa"/>
              <w:end w:w="100" w:type="dxa"/>
            </w:tcMar>
          </w:tcPr>
          <w:p>
            <w:pPr>
              <w:keepLines/>
              <w:spacing w:after="0" w:line="259" w:lineRule="auto"/>
            </w:pPr>
            <w:r>
              <w:rPr>
                <w:rFonts w:ascii="Aptos" w:hAnsi="Aptos" w:eastAsia="Noto Sans CJK SC"/>
                <w:b w:val="0"/>
                <w:sz w:val="16"/>
              </w:rPr>
              <w:t>若出现新的正式文件、执行主体、预算/指标或连续高频议题，再升级政策信号</w:t>
            </w:r>
          </w:p>
        </w:tc>
      </w:tr>
    </w:tbl>
    <w:p>
      <w:pPr>
        <w:pStyle w:val="Heading1"/>
        <w:keepNext/>
      </w:pPr>
      <w:r>
        <w:t>9. 研究行动清单</w:t>
      </w:r>
    </w:p>
    <w:p>
      <w:pPr>
        <w:pStyle w:val="ListNumber"/>
        <w:spacing w:after="40" w:line="283" w:lineRule="auto"/>
      </w:pPr>
      <w:r>
        <w:rPr>
          <w:rFonts w:ascii="Aptos" w:hAnsi="Aptos" w:eastAsia="Noto Sans CJK SC"/>
          <w:b w:val="0"/>
          <w:sz w:val="20"/>
        </w:rPr>
        <w:t>12:00复核：补齐A股上午收盘指数、成交额、上涨/下跌家数、涨跌停与板块广度；判断开盘修复是否有效。</w:t>
      </w:r>
    </w:p>
    <w:p>
      <w:pPr>
        <w:pStyle w:val="ListNumber"/>
        <w:spacing w:after="40" w:line="283" w:lineRule="auto"/>
      </w:pPr>
      <w:r>
        <w:rPr>
          <w:rFonts w:ascii="Aptos" w:hAnsi="Aptos" w:eastAsia="Noto Sans CJK SC"/>
          <w:b w:val="0"/>
          <w:sz w:val="20"/>
        </w:rPr>
        <w:t>20:00复核：抓取2026-08-20《新闻联播》完整官方/可靠文本，和8月18-19日可验证文本做“新增量”对比；若前两日完整稿仍缺失，应明确降低三日比较置信度。</w:t>
      </w:r>
    </w:p>
    <w:p>
      <w:pPr>
        <w:pStyle w:val="ListNumber"/>
        <w:spacing w:after="40" w:line="283" w:lineRule="auto"/>
      </w:pPr>
      <w:r>
        <w:rPr>
          <w:rFonts w:ascii="Aptos" w:hAnsi="Aptos" w:eastAsia="Noto Sans CJK SC"/>
          <w:b w:val="0"/>
          <w:sz w:val="20"/>
        </w:rPr>
        <w:t>跟踪美国30Y/10Y、DXY、黄金与原油的组合，而不是单看美股指数；判断“流动性修复”能否压过“财政+通胀风险”。</w:t>
      </w:r>
    </w:p>
    <w:p>
      <w:pPr>
        <w:pStyle w:val="ListNumber"/>
        <w:spacing w:after="40" w:line="283" w:lineRule="auto"/>
      </w:pPr>
      <w:r>
        <w:rPr>
          <w:rFonts w:ascii="Aptos" w:hAnsi="Aptos" w:eastAsia="Noto Sans CJK SC"/>
          <w:b w:val="0"/>
          <w:sz w:val="20"/>
        </w:rPr>
        <w:t>对AI/机器人链条从“主题热度”转为“盈利质量清单”：收入增速、毛利、订单可见度、CapEx、商业场景部署、海外限制和估值。</w:t>
      </w:r>
    </w:p>
    <w:p>
      <w:pPr>
        <w:pStyle w:val="ListNumber"/>
        <w:spacing w:after="40" w:line="283" w:lineRule="auto"/>
      </w:pPr>
      <w:r>
        <w:rPr>
          <w:rFonts w:ascii="Aptos" w:hAnsi="Aptos" w:eastAsia="Noto Sans CJK SC"/>
          <w:b w:val="0"/>
          <w:sz w:val="20"/>
        </w:rPr>
        <w:t>对“六张网”建立项目级跟踪表：中央/地方预算 → 招标 → 中标 → 开工 → 设备出货 → 回款 → 利用率。</w:t>
      </w:r>
    </w:p>
    <w:p>
      <w:pPr>
        <w:pStyle w:val="Heading1"/>
        <w:keepNext/>
      </w:pPr>
      <w:r>
        <w:t>10. 来源与方法审计</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项目</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状态</w:t>
            </w:r>
          </w:p>
        </w:tc>
        <w:tc>
          <w:tcPr>
            <w:tcW w:type="dxa" w:w="341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6"/>
              </w:rPr>
              <w:t>说明</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关键事实原始/一级来源覆盖</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较高</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全球市场、LPR、Unitree、HKEX主要由Reuters；六张网/健康政策由政府/官方站点材料辅助</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双源核验</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中等</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A股收盘与宇树由Sina+Reuters互证；美债/金油有Reuters多篇互证；部分国内政策当日会议仅有财经媒体转述</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A股09:59实时行情</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DEGRADED</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仅可靠取得09:25开盘快照；动态指数页数据字段无法由检索器解析</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港股09:59实时指数</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FAILED/DATA GAP</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未取得足够可靠的可解析实时值，因此不填</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2026-08-19新闻联播完整稿</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FAILED/DATA GAP</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未检索到可核验的完整官方文字稿；不使用2025同日或旧年份内容替代</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2026-08-20新闻联播</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尚未发生</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本次运行时间早于19:00播出；应在20:00正式任务复核</w:t>
            </w:r>
          </w:p>
        </w:tc>
      </w:tr>
      <w:tr>
        <w:trPr>
          <w:cantSplit/>
        </w:trPr>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整体置信度</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中高</w:t>
            </w:r>
          </w:p>
        </w:tc>
        <w:tc>
          <w:tcPr>
            <w:tcW w:type="dxa" w:w="3419"/>
            <w:vAlign w:val="top"/>
            <w:tcMar>
              <w:top w:w="80" w:type="dxa"/>
              <w:start w:w="100" w:type="dxa"/>
              <w:bottom w:w="80" w:type="dxa"/>
              <w:end w:w="100" w:type="dxa"/>
            </w:tcMar>
          </w:tcPr>
          <w:p>
            <w:pPr>
              <w:keepLines/>
              <w:spacing w:after="0" w:line="259" w:lineRule="auto"/>
            </w:pPr>
            <w:r>
              <w:rPr>
                <w:rFonts w:ascii="Aptos" w:hAnsi="Aptos" w:eastAsia="Noto Sans CJK SC"/>
                <w:b w:val="0"/>
                <w:sz w:val="16"/>
              </w:rPr>
              <w:t>Top 1/2事实高置信；A股早盘判断受09:59实时广度数据缺口限制；新闻联播模块置信度低并已降级</w:t>
            </w:r>
          </w:p>
        </w:tc>
      </w:tr>
    </w:tbl>
    <w:p>
      <w:pPr>
        <w:pStyle w:val="Heading1"/>
        <w:keepNext/>
      </w:pPr>
      <w:r>
        <w:t>11. 主要来源</w:t>
      </w:r>
    </w:p>
    <w:p>
      <w:pPr>
        <w:spacing w:after="60" w:line="240" w:lineRule="auto"/>
      </w:pPr>
      <w:r>
        <w:rPr>
          <w:rFonts w:ascii="Aptos" w:hAnsi="Aptos" w:eastAsia="Noto Sans CJK SC"/>
          <w:b/>
          <w:color w:val="374655"/>
          <w:sz w:val="17"/>
        </w:rPr>
        <w:t>[1] Reuters, 2026-08-19, Global yields fall after US Treasury boosts debt buybacks</w:t>
        <w:br/>
      </w:r>
      <w:r>
        <w:rPr>
          <w:rFonts w:ascii="Aptos" w:hAnsi="Aptos" w:eastAsia="Noto Sans CJK SC"/>
          <w:color w:val="505A64"/>
          <w:sz w:val="15"/>
        </w:rPr>
        <w:t>https://www.reuters.com/world/china/global-markets-global-markets-2026-08-19/</w:t>
      </w:r>
    </w:p>
    <w:p>
      <w:pPr>
        <w:spacing w:after="60" w:line="240" w:lineRule="auto"/>
      </w:pPr>
      <w:r>
        <w:rPr>
          <w:rFonts w:ascii="Aptos" w:hAnsi="Aptos" w:eastAsia="Noto Sans CJK SC"/>
          <w:b/>
          <w:color w:val="374655"/>
          <w:sz w:val="17"/>
        </w:rPr>
        <w:t>[2] Reuters, 2026-08-20, China leaves loan rates steady for 15th consecutive month in August</w:t>
        <w:br/>
      </w:r>
      <w:r>
        <w:rPr>
          <w:rFonts w:ascii="Aptos" w:hAnsi="Aptos" w:eastAsia="Noto Sans CJK SC"/>
          <w:color w:val="505A64"/>
          <w:sz w:val="15"/>
        </w:rPr>
        <w:t>https://www.reuters.com/world/asia-pacific/china-leaves-loan-rates-steady-15th-consecutive-month-august-2026-08-20/</w:t>
      </w:r>
    </w:p>
    <w:p>
      <w:pPr>
        <w:spacing w:after="60" w:line="240" w:lineRule="auto"/>
      </w:pPr>
      <w:r>
        <w:rPr>
          <w:rFonts w:ascii="Aptos" w:hAnsi="Aptos" w:eastAsia="Noto Sans CJK SC"/>
          <w:b/>
          <w:color w:val="374655"/>
          <w:sz w:val="17"/>
        </w:rPr>
        <w:t>[3] Reuters, 2026-08-20, Gold hovers near early-June high on lower bond yields</w:t>
        <w:br/>
      </w:r>
      <w:r>
        <w:rPr>
          <w:rFonts w:ascii="Aptos" w:hAnsi="Aptos" w:eastAsia="Noto Sans CJK SC"/>
          <w:color w:val="505A64"/>
          <w:sz w:val="15"/>
        </w:rPr>
        <w:t>https://www.reuters.com/business/gold-hovers-near-early-june-high-lower-bond-yields-2026-08-20/</w:t>
      </w:r>
    </w:p>
    <w:p>
      <w:pPr>
        <w:spacing w:after="60" w:line="240" w:lineRule="auto"/>
      </w:pPr>
      <w:r>
        <w:rPr>
          <w:rFonts w:ascii="Aptos" w:hAnsi="Aptos" w:eastAsia="Noto Sans CJK SC"/>
          <w:b/>
          <w:color w:val="374655"/>
          <w:sz w:val="17"/>
        </w:rPr>
        <w:t>[4] Reuters, 2026-08-20, Oil prices steady as investors assess US-Iran war outlook</w:t>
        <w:br/>
      </w:r>
      <w:r>
        <w:rPr>
          <w:rFonts w:ascii="Aptos" w:hAnsi="Aptos" w:eastAsia="Noto Sans CJK SC"/>
          <w:color w:val="505A64"/>
          <w:sz w:val="15"/>
        </w:rPr>
        <w:t>https://www.reuters.com/business/energy/oil-prices-steady-investors-assess-us-iran-war-outlook-2026-08-20/</w:t>
      </w:r>
    </w:p>
    <w:p>
      <w:pPr>
        <w:spacing w:after="60" w:line="240" w:lineRule="auto"/>
      </w:pPr>
      <w:r>
        <w:rPr>
          <w:rFonts w:ascii="Aptos" w:hAnsi="Aptos" w:eastAsia="Noto Sans CJK SC"/>
          <w:b/>
          <w:color w:val="374655"/>
          <w:sz w:val="17"/>
        </w:rPr>
        <w:t>[5] Reuters, 2026-08-19, Unitree surges in Shanghai debut</w:t>
        <w:br/>
      </w:r>
      <w:r>
        <w:rPr>
          <w:rFonts w:ascii="Aptos" w:hAnsi="Aptos" w:eastAsia="Noto Sans CJK SC"/>
          <w:color w:val="505A64"/>
          <w:sz w:val="15"/>
        </w:rPr>
        <w:t>https://www.reuters.com/world/asia-pacific/chinese-humanoid-robot-maker-unitree-set-jump-over-600-shanghai-debut-2026-08-19/</w:t>
      </w:r>
    </w:p>
    <w:p>
      <w:pPr>
        <w:spacing w:after="60" w:line="240" w:lineRule="auto"/>
      </w:pPr>
      <w:r>
        <w:rPr>
          <w:rFonts w:ascii="Aptos" w:hAnsi="Aptos" w:eastAsia="Noto Sans CJK SC"/>
          <w:b/>
          <w:color w:val="374655"/>
          <w:sz w:val="17"/>
        </w:rPr>
        <w:t>[6] Reuters, 2026-08-19, Hong Kong exchange posts record half-year profit</w:t>
        <w:br/>
      </w:r>
      <w:r>
        <w:rPr>
          <w:rFonts w:ascii="Aptos" w:hAnsi="Aptos" w:eastAsia="Noto Sans CJK SC"/>
          <w:color w:val="505A64"/>
          <w:sz w:val="15"/>
        </w:rPr>
        <w:t>https://www.reuters.com/world/asia-pacific/hong-kong-exchange-posts-record-half-year-profit-trading-fundraising-boom-2026-08-19/</w:t>
      </w:r>
    </w:p>
    <w:p>
      <w:pPr>
        <w:spacing w:after="60" w:line="240" w:lineRule="auto"/>
      </w:pPr>
      <w:r>
        <w:rPr>
          <w:rFonts w:ascii="Aptos" w:hAnsi="Aptos" w:eastAsia="Noto Sans CJK SC"/>
          <w:b/>
          <w:color w:val="374655"/>
          <w:sz w:val="17"/>
        </w:rPr>
        <w:t>[7] 新浪财经, 2026-08-19, A股收评：创业板指跌6.26%、全市场超5000股下跌</w:t>
        <w:br/>
      </w:r>
      <w:r>
        <w:rPr>
          <w:rFonts w:ascii="Aptos" w:hAnsi="Aptos" w:eastAsia="Noto Sans CJK SC"/>
          <w:color w:val="505A64"/>
          <w:sz w:val="15"/>
        </w:rPr>
        <w:t>https://finance.sina.com.cn/tob/2026-08-19/doc-ininvshr7071131.shtml</w:t>
      </w:r>
    </w:p>
    <w:p>
      <w:pPr>
        <w:spacing w:after="60" w:line="240" w:lineRule="auto"/>
      </w:pPr>
      <w:r>
        <w:rPr>
          <w:rFonts w:ascii="Aptos" w:hAnsi="Aptos" w:eastAsia="Noto Sans CJK SC"/>
          <w:b/>
          <w:color w:val="374655"/>
          <w:sz w:val="17"/>
        </w:rPr>
        <w:t>[8] 新浪财经, 2026-08-20 09:25, A股三大指数集体高开</w:t>
        <w:br/>
      </w:r>
      <w:r>
        <w:rPr>
          <w:rFonts w:ascii="Aptos" w:hAnsi="Aptos" w:eastAsia="Noto Sans CJK SC"/>
          <w:color w:val="505A64"/>
          <w:sz w:val="15"/>
        </w:rPr>
        <w:t>https://finance.sina.cn/stock/dpps/2026-08-20/detail-ininxkrs8054152.d.html</w:t>
      </w:r>
    </w:p>
    <w:p>
      <w:pPr>
        <w:spacing w:after="60" w:line="240" w:lineRule="auto"/>
      </w:pPr>
      <w:r>
        <w:rPr>
          <w:rFonts w:ascii="Aptos" w:hAnsi="Aptos" w:eastAsia="Noto Sans CJK SC"/>
          <w:b/>
          <w:color w:val="374655"/>
          <w:sz w:val="17"/>
        </w:rPr>
        <w:t>[9] 中国货币网, LPR机制及市场公告</w:t>
        <w:br/>
      </w:r>
      <w:r>
        <w:rPr>
          <w:rFonts w:ascii="Aptos" w:hAnsi="Aptos" w:eastAsia="Noto Sans CJK SC"/>
          <w:color w:val="505A64"/>
          <w:sz w:val="15"/>
        </w:rPr>
        <w:t>https://www.chinamoney.com.cn/chinese/bklpr/?tab=2</w:t>
      </w:r>
    </w:p>
    <w:p>
      <w:pPr>
        <w:spacing w:after="60" w:line="240" w:lineRule="auto"/>
      </w:pPr>
      <w:r>
        <w:rPr>
          <w:rFonts w:ascii="Aptos" w:hAnsi="Aptos" w:eastAsia="Noto Sans CJK SC"/>
          <w:b/>
          <w:color w:val="374655"/>
          <w:sz w:val="17"/>
        </w:rPr>
        <w:t>[10] 数字中国建设峰会/政府网站转载, 2026-08-13, “六张网”政策与建设脉络</w:t>
        <w:br/>
      </w:r>
      <w:r>
        <w:rPr>
          <w:rFonts w:ascii="Aptos" w:hAnsi="Aptos" w:eastAsia="Noto Sans CJK SC"/>
          <w:color w:val="505A64"/>
          <w:sz w:val="15"/>
        </w:rPr>
        <w:t>https://www.digitalchina.gov.cn/2026/xwzx/szkx/202608/t20260813_5358231.htm</w:t>
      </w:r>
    </w:p>
    <w:p>
      <w:pPr>
        <w:spacing w:after="60" w:line="240" w:lineRule="auto"/>
      </w:pPr>
      <w:r>
        <w:rPr>
          <w:rFonts w:ascii="Aptos" w:hAnsi="Aptos" w:eastAsia="Noto Sans CJK SC"/>
          <w:b/>
          <w:color w:val="374655"/>
          <w:sz w:val="17"/>
        </w:rPr>
        <w:t>[11] 国务院, 2026-07-13发布, 《国民健康“十五五”规划》</w:t>
        <w:br/>
      </w:r>
      <w:r>
        <w:rPr>
          <w:rFonts w:ascii="Aptos" w:hAnsi="Aptos" w:eastAsia="Noto Sans CJK SC"/>
          <w:color w:val="505A64"/>
          <w:sz w:val="15"/>
        </w:rPr>
        <w:t>https://www.gov.cn/zhengce/content/202607/content_7075213.htm</w:t>
      </w:r>
    </w:p>
    <w:p>
      <w:pPr>
        <w:spacing w:after="60" w:line="240" w:lineRule="auto"/>
      </w:pPr>
      <w:r>
        <w:rPr>
          <w:rFonts w:ascii="Aptos" w:hAnsi="Aptos" w:eastAsia="Noto Sans CJK SC"/>
          <w:b/>
          <w:color w:val="374655"/>
          <w:sz w:val="17"/>
        </w:rPr>
        <w:t>[12] 国家医疗保障局, 2026-07-07, 医疗保障推动经济社会高质量发展：路径与成效</w:t>
        <w:br/>
      </w:r>
      <w:r>
        <w:rPr>
          <w:rFonts w:ascii="Aptos" w:hAnsi="Aptos" w:eastAsia="Noto Sans CJK SC"/>
          <w:color w:val="505A64"/>
          <w:sz w:val="15"/>
        </w:rPr>
        <w:t>https://www.nhsa.gov.cn/art/2026/7/7/art_14_21325.html</w:t>
      </w:r>
    </w:p>
    <w:p>
      <w:pPr>
        <w:spacing w:after="60" w:line="240" w:lineRule="auto"/>
      </w:pPr>
      <w:r>
        <w:rPr>
          <w:rFonts w:ascii="Aptos" w:hAnsi="Aptos" w:eastAsia="Noto Sans CJK SC"/>
          <w:b/>
          <w:color w:val="374655"/>
          <w:sz w:val="17"/>
        </w:rPr>
        <w:t>[13] 央视《新闻联播》栏目页（本次未取得2026-08-19完整稿）</w:t>
        <w:br/>
      </w:r>
      <w:r>
        <w:rPr>
          <w:rFonts w:ascii="Aptos" w:hAnsi="Aptos" w:eastAsia="Noto Sans CJK SC"/>
          <w:color w:val="505A64"/>
          <w:sz w:val="15"/>
        </w:rPr>
        <w:t>https://tv.cctv.com/lm/xwlb/</w:t>
      </w:r>
    </w:p>
    <w:p>
      <w:pPr>
        <w:pStyle w:val="Heading1"/>
        <w:keepNext/>
      </w:pPr>
      <w:r>
        <w:t>附录 A｜证据账本（核心Claim）</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tblHeader w:val="true"/>
        </w:trPr>
        <w:tc>
          <w:tcPr>
            <w:tcW w:type="dxa" w:w="170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5"/>
              </w:rPr>
              <w:t>Claim</w:t>
            </w:r>
          </w:p>
        </w:tc>
        <w:tc>
          <w:tcPr>
            <w:tcW w:type="dxa" w:w="170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5"/>
              </w:rPr>
              <w:t>事件日期</w:t>
            </w:r>
          </w:p>
        </w:tc>
        <w:tc>
          <w:tcPr>
            <w:tcW w:type="dxa" w:w="170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5"/>
              </w:rPr>
              <w:t>来源</w:t>
            </w:r>
          </w:p>
        </w:tc>
        <w:tc>
          <w:tcPr>
            <w:tcW w:type="dxa" w:w="170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5"/>
              </w:rPr>
              <w:t>层级</w:t>
            </w:r>
          </w:p>
        </w:tc>
        <w:tc>
          <w:tcPr>
            <w:tcW w:type="dxa" w:w="170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5"/>
              </w:rPr>
              <w:t>证据方向</w:t>
            </w:r>
          </w:p>
        </w:tc>
        <w:tc>
          <w:tcPr>
            <w:tcW w:type="dxa" w:w="1709"/>
            <w:shd w:fill="E8EEF5"/>
            <w:vAlign w:val="center"/>
            <w:tcMar>
              <w:top w:w="80" w:type="dxa"/>
              <w:start w:w="100" w:type="dxa"/>
              <w:bottom w:w="80" w:type="dxa"/>
              <w:end w:w="100" w:type="dxa"/>
            </w:tcMar>
          </w:tcPr>
          <w:p>
            <w:pPr>
              <w:keepLines/>
              <w:spacing w:after="0" w:line="283" w:lineRule="auto"/>
              <w:jc w:val="center"/>
            </w:pPr>
            <w:r>
              <w:rPr>
                <w:rFonts w:ascii="Aptos" w:hAnsi="Aptos" w:eastAsia="Noto Sans CJK SC"/>
                <w:b/>
                <w:sz w:val="15"/>
              </w:rPr>
              <w:t>置信度</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美国财政部扩大长债回购</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Reuters</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1 / 直接报道</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长端美债一度下行约10bp</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Reuters</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1</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DXY 98.80，-0.84%；黄金+4.05%</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Reuters</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1</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8月LPR 1Y=3.00%, 5Y+=3.50%</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2026-08-20</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Reuters + 中国货币网机制</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1/Tier 0机制</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A股8/19沪指-2.40%、创指-6.26%</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Sina</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2行情媒体</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宇树IPO收涨460.34%，市值约500亿美元</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Reuters + Sina</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1+2</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8/20 09:25 A股三大指数高开</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2026-08-20</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Sina</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2行情媒体</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中高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“六张网”是十五五重大基础设施抓手</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政府/官方转载材料</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Tier 0/政策材料</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支持</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高</w:t>
            </w:r>
          </w:p>
        </w:tc>
      </w:tr>
      <w:tr>
        <w:trPr>
          <w:cantSplit/>
        </w:trPr>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2026-08-19新闻联播完整内容</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2026-08-19</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未取得</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缺口</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未知</w:t>
            </w:r>
          </w:p>
        </w:tc>
        <w:tc>
          <w:tcPr>
            <w:tcW w:type="dxa" w:w="1709"/>
            <w:vAlign w:val="top"/>
            <w:tcMar>
              <w:top w:w="80" w:type="dxa"/>
              <w:start w:w="100" w:type="dxa"/>
              <w:bottom w:w="80" w:type="dxa"/>
              <w:end w:w="100" w:type="dxa"/>
            </w:tcMar>
          </w:tcPr>
          <w:p>
            <w:pPr>
              <w:keepLines/>
              <w:spacing w:after="0" w:line="259" w:lineRule="auto"/>
            </w:pPr>
            <w:r>
              <w:rPr>
                <w:rFonts w:ascii="Aptos" w:hAnsi="Aptos" w:eastAsia="Noto Sans CJK SC"/>
                <w:b w:val="0"/>
                <w:sz w:val="15"/>
              </w:rPr>
              <w:t>低</w:t>
            </w:r>
          </w:p>
        </w:tc>
      </w:tr>
    </w:tbl>
    <w:p>
      <w:pPr>
        <w:spacing w:before="320"/>
        <w:jc w:val="center"/>
      </w:pPr>
      <w:r>
        <w:rPr>
          <w:rFonts w:ascii="Aptos" w:hAnsi="Aptos" w:eastAsia="Noto Sans CJK SC"/>
          <w:color w:val="787878"/>
          <w:sz w:val="18"/>
        </w:rPr>
        <w:t>— End of Report —</w:t>
      </w:r>
    </w:p>
    <w:sectPr w:rsidR="00FC693F" w:rsidRPr="0006063C" w:rsidSect="00034616">
      <w:headerReference w:type="default" r:id="rId9"/>
      <w:footerReference w:type="default" r:id="rId10"/>
      <w:pgSz w:w="12240" w:h="15840"/>
      <w:pgMar w:top="964"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83" w:lineRule="auto"/>
      <w:jc w:val="center"/>
    </w:pPr>
    <w:r>
      <w:rPr>
        <w:rFonts w:ascii="Aptos" w:hAnsi="Aptos" w:eastAsia="Noto Sans CJK SC"/>
        <w:b w:val="0"/>
        <w:color w:val="64696E"/>
        <w:sz w:val="15"/>
      </w:rPr>
      <w:t xml:space="preserve">仅用于信息研究，不构成投资建议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83" w:lineRule="auto"/>
    </w:pPr>
    <w:r>
      <w:rPr>
        <w:rFonts w:ascii="Aptos" w:hAnsi="Aptos" w:eastAsia="Noto Sans CJK SC"/>
        <w:b w:val="0"/>
        <w:color w:val="64696E"/>
        <w:sz w:val="15"/>
      </w:rPr>
      <w:t>DAILY MARKET INTELLIGENCE  |  2026-08-20  |  MANUAL EARLY-SESSION RUN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Noto Sans CJK SC"/>
      <w:b/>
      <w:bCs/>
      <w:color w:val="1F3752"/>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Noto Sans CJK SC"/>
      <w:b/>
      <w:bCs/>
      <w:color w:val="2B4864"/>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Noto Sans CJK SC"/>
      <w:b/>
      <w:bCs/>
      <w:color w:val="3E526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