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上海市2025年政府工作报告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E74B5"/>
          <w:sz w:val="36"/>
        </w:rPr>
        <w:t>深度研究与“容易被忽视的细节”分析</w:t>
      </w:r>
    </w:p>
    <w:p>
      <w:pPr>
        <w:spacing w:before="480"/>
        <w:jc w:val="center"/>
      </w:pPr>
      <w:r>
        <w:rPr>
          <w:rFonts w:ascii="Noto Serif CJK SC" w:hAnsi="Noto Serif CJK SC" w:eastAsia="Noto Serif CJK SC"/>
          <w:color w:val="505050"/>
          <w:sz w:val="23"/>
        </w:rPr>
        <w:t>从增长模式换挡、财政结构、产业资本、土地约束、人口变化与城市治理六条暗线重新理解上海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color w:val="64A0BE"/>
          <w:sz w:val="22"/>
        </w:rPr>
        <w:t>━━━━━━━━━━━━━━━━━━━━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E6E6E"/>
          <w:sz w:val="19"/>
        </w:rPr>
        <w:t>研究对象：2025年上海市政府工作报告及同期财政、计划、统计资料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19"/>
        </w:rPr>
        <w:t>整理时间：2026年8月</w:t>
      </w:r>
    </w:p>
    <w:p>
      <w:r>
        <w:br w:type="page"/>
      </w:r>
    </w:p>
    <w:p>
      <w:pPr>
        <w:spacing w:before="100" w:after="36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目　录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执行摘要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一、研究口径与阅读方法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二、先看最关键的宏观错位：GDP完成目标，但“收入与体感”没有同步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三、18个容易被忽视、但信号很重的细节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四、把所有细节合起来：上海正在经历的“六个换挡”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五、增长模式重构：从“城市扩张”到“城市生产率”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六、财政暗线：真正的变化不在“花多少钱”，而在“钱从哪里来、流向哪里”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七、产业暗线：新质生产力背后，是“科研—资本—制造—市场”的完整闭环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八、人口与城市治理：老龄化不是单一养老问题，而是公共资源重排问题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九、AI与营商环境：从“数字化办事”走向“制度成本下降”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十、事后验证：用2025年实际执行结果检验报告判断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十一、未来5—10年最值得观察的五条主线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十二、最终结论：上海正在寻找“成熟超大城市的第二增长曲线”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附录A：主要资料来源与核验路径</w:t>
      </w:r>
    </w:p>
    <w:p>
      <w:pPr>
        <w:spacing w:after="100" w:line="276" w:lineRule="auto"/>
        <w:ind w:left="510"/>
      </w:pPr>
      <w:r>
        <w:rPr>
          <w:rFonts w:ascii="Noto Sans CJK SC" w:hAnsi="Noto Sans CJK SC" w:eastAsia="Noto Sans CJK SC"/>
          <w:color w:val="3C3C3C"/>
          <w:sz w:val="20"/>
        </w:rPr>
        <w:t>附录B：建议建立的年度跟踪仪表盘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745"/>
            <w:shd w:fill="E8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核心判断　</w:t>
            </w:r>
            <w:r>
              <w:rPr>
                <w:rFonts w:ascii="Noto Serif CJK SC" w:hAnsi="Noto Serif CJK SC" w:eastAsia="Noto Serif CJK SC"/>
                <w:sz w:val="20"/>
              </w:rPr>
              <w:t>2025年上海政府工作报告真正值得关注的，不是单个产业名词，而是上海正在从“增量开发型城市增长”切换到“存量更新＋科技资本＋先进制造＋居民消费＋制度型开放＋数字治理”的新增长组合。旧增长机制弱化得更快，新机制尚未完全成熟，因此报告同时出现稳增长、稳外资、扩消费、盘活低效土地、政府过紧日子与扩大科技投入等看似矛盾的政策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如果只看“GDP增长5%左右”“发展三大先导产业”“建设五个中心”等显性表述，容易把2025年的上海报告理解为常规的超大城市发展计划。但将报告与2024年执行数据、2025年预算和国民经济计划并读，会看到更清晰的结构性压力：社会消费品零售额下降、实际使用外资明显回落、一般公共预算收入增速远低于GDP、土地与房地产相关收入承压，而科技、先进制造、城市更新和公共服务又需要持续投入。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因此，本报告不按政府工作报告原有章节逐段复述，而采用“显性表述—同期数据—制度含义—长期影响”的方式，专门提取容易被忽视、但对判断上海未来5—10年发展模式更有价值的信号。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247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观察维度</w:t>
            </w:r>
          </w:p>
        </w:tc>
        <w:tc>
          <w:tcPr>
            <w:tcW w:type="dxa" w:w="2948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表面现象</w:t>
            </w:r>
          </w:p>
        </w:tc>
        <w:tc>
          <w:tcPr>
            <w:tcW w:type="dxa" w:w="4592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更深层信号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增长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2024年GDP增长5%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实际增长不弱，但财政、居民收入和价格的名义体感偏弱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消费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社零下降3.1%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刺激消费正从“造场景”转向“增收入、减负担”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外资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仍有约176亿美元实际使用外资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绝对规模仍大，但同比明显下降，开放政策转向总部、研发和制度型开放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财政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一般公共预算支出仅小幅增长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财政进入紧平衡，支出结构比总量更重要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土地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低效产业用地盘活、工业上楼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上海进入存量空间时代，单位土地效率成为新约束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产业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千亿元母基金、耐心资本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地方政府从“园区开发商”向“产业资本组织者”转型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人口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教育供给与人口变化协调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老龄化、少子化开始重塑学校、养老、住房和社区空间</w:t>
            </w:r>
          </w:p>
        </w:tc>
      </w:tr>
      <w:t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AI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AI进入制造、金融、医疗和治理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AI从产业赛道升级为城市通用基础能力</w:t>
            </w:r>
          </w:p>
        </w:tc>
      </w:tr>
    </w:tbl>
    <w:p>
      <w:pPr>
        <w:spacing w:after="20"/>
      </w:pPr>
    </w:p>
    <w:p>
      <w:pPr>
        <w:pStyle w:val="Heading1"/>
      </w:pPr>
      <w:r>
        <w:t>一、研究口径与阅读方法</w:t>
      </w:r>
    </w:p>
    <w:p>
      <w:pPr>
        <w:pStyle w:val="Heading2"/>
      </w:pPr>
      <w:r>
        <w:t>1. “去年”的口径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本报告所称“去年政府工作报告”，指2025年上海市两会期间发布的《政府工作报告》。该报告总结2024年工作，并提出2025年的主要目标与任务。为避免把年度报告当成孤立文本，本研究同时使用2024年执行数据、2025年国民经济和社会发展计划、2025年预算报告以及2025年执行结果进行交叉观察。</w:t>
      </w:r>
    </w:p>
    <w:p>
      <w:pPr>
        <w:pStyle w:val="Heading2"/>
      </w:pPr>
      <w:r>
        <w:t>2. 三层证据结构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第一层——报告原文：关注目标、任务、排序、措辞变化以及新增/删减的政策表达。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第二层——同期数据：用财政、消费、外资、产业、土地、人口等数据检查政策重点为何发生变化。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第三层——分析推断：在原文和数据基础上，判断上海增长模式、财政机制与治理逻辑的结构性变化。推断部分不等同于官方表述。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745"/>
            <w:shd w:fill="F3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阅读提示　</w:t>
            </w:r>
            <w:r>
              <w:rPr>
                <w:rFonts w:ascii="Noto Serif CJK SC" w:hAnsi="Noto Serif CJK SC" w:eastAsia="Noto Serif CJK SC"/>
                <w:sz w:val="20"/>
              </w:rPr>
              <w:t>政府工作报告中的“排序”“用绝对量还是同比”“第一次出现的词”“预算资金流向”往往比宏大口号更有信息量。尤其要观察：哪些问题在正文里只轻描淡写，但在财政和专项政策中投入显著增加。</w:t>
            </w:r>
          </w:p>
        </w:tc>
      </w:tr>
    </w:tbl>
    <w:p>
      <w:pPr>
        <w:spacing w:after="0"/>
      </w:pPr>
    </w:p>
    <w:p>
      <w:pPr>
        <w:pStyle w:val="Heading1"/>
      </w:pPr>
      <w:r>
        <w:t>二、先看最关键的宏观错位：GDP完成目标，但“收入与体感”没有同步</w:t>
      </w:r>
    </w:p>
    <w:p>
      <w:pPr>
        <w:pStyle w:val="Heading2"/>
      </w:pPr>
      <w:r>
        <w:t>1. 2024年目标与执行结果对照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324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1814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2024年目标/预期</w:t>
            </w:r>
          </w:p>
        </w:tc>
        <w:tc>
          <w:tcPr>
            <w:tcW w:type="dxa" w:w="1814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2024年执行结果</w:t>
            </w:r>
          </w:p>
        </w:tc>
        <w:tc>
          <w:tcPr>
            <w:tcW w:type="dxa" w:w="2835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解读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地区生产总值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增长5%左右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增长5%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总量目标完成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一般公共预算收入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增长约5%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增长0.7%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财政收入明显弱于GDP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战略性新兴产业占规上工业比重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44%以上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43.6%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转型仍在推进，但略低于预期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研发经费投入强度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4.5%左右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约4.4%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高位投入基本维持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居民人均可支配收入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与经济增长同步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增长4.2%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收入增长弱于GDP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居民消费价格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涨幅约3%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基本持平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价格水平明显弱于年初预期</w:t>
            </w:r>
          </w:p>
        </w:tc>
      </w:tr>
      <w:tr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社会消费品零售总额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未单列硬目标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下降3.1%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商品消费成为明显短板</w:t>
            </w:r>
          </w:p>
        </w:tc>
      </w:tr>
    </w:tbl>
    <w:p>
      <w:pPr>
        <w:spacing w:after="20"/>
      </w:pPr>
    </w:p>
    <w:p>
      <w:pPr>
        <w:spacing w:before="20" w:after="100"/>
        <w:ind w:left="227"/>
      </w:pPr>
      <w:r>
        <w:rPr>
          <w:rFonts w:ascii="Noto Sans CJK SC" w:hAnsi="Noto Sans CJK SC" w:eastAsia="Noto Sans CJK SC"/>
          <w:color w:val="646464"/>
          <w:sz w:val="17"/>
        </w:rPr>
        <w:t>资料依据：上海市政府工作报告、上海市2024年国民经济和社会发展统计公报/计划执行资料。具体链接见文末“主要资料来源”。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这组数据最值得注意的不是“上海有没有增长”，而是增长并没有等比例转化为财政收入、居民收入和价格水平。宏观上可以理解为：实际产出增长保持韧性，但名义需求和收入扩张偏弱。对居民和企业而言，经济体感更多来自收入、订单、价格和资产预期，而不是单一的实际GDP增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745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/>
                <w:color w:val="AA5F00"/>
                <w:sz w:val="21"/>
              </w:rPr>
              <w:t xml:space="preserve">分析推断　</w:t>
            </w:r>
            <w:r>
              <w:rPr>
                <w:rFonts w:ascii="Noto Serif CJK SC" w:hAnsi="Noto Serif CJK SC" w:eastAsia="Noto Serif CJK SC"/>
                <w:sz w:val="20"/>
              </w:rPr>
              <w:t>“GDP增长5%但一般公共预算收入仅增长0.7%、居民收入增长4.2%、CPI基本持平”意味着上海2025年的政策重点必然从单纯扩大产出，转向稳定收入预期、修复消费、稳住企业和外资信心。</w:t>
            </w:r>
          </w:p>
        </w:tc>
      </w:tr>
    </w:tbl>
    <w:p>
      <w:pPr>
        <w:spacing w:after="0"/>
      </w:pPr>
    </w:p>
    <w:p>
      <w:pPr>
        <w:pStyle w:val="Heading1"/>
      </w:pPr>
      <w:r>
        <w:t>三、18个容易被忽视、但信号很重的细节</w:t>
      </w:r>
    </w:p>
    <w:p>
      <w:pPr>
        <w:pStyle w:val="Heading2"/>
      </w:pPr>
      <w:r>
        <w:t>细节1：内需不足不是“没有消费场景”，而是居民收入与预期约束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2024年上海社会消费品零售总额下降3.1%，而GDP仍增长5%。这说明消费疲弱并非简单等于“没有购物节、没有商圈、没有新业态”。上海已经拥有全国最密集的商业设施和消费场景之一，真正约束更接近居民收入增长、就业预期、住房与教育支出压力以及对未来的不确定感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2025年报告把“扩大内需特别是居民消费需求”放在更突出位置，并提出推动中低收入群体增收减负。这一措辞变化意味着消费政策开始触及收入分配和居民资产负债表，而不再只靠节庆、首发、夜经济等供给侧场景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关注居民可支配收入增速、服务消费占比、社零恢复持续性，以及中低收入群体增收政策是否形成稳定制度。</w:t>
      </w:r>
    </w:p>
    <w:p>
      <w:pPr>
        <w:pStyle w:val="Heading2"/>
      </w:pPr>
      <w:r>
        <w:t>细节2：促消费政策正在从“商场逻辑”进入“居民资产负债表逻辑”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过去地方促消费政策常见方法是消费券、促销节、商圈改造、汽车家电以旧换新。这些工具对短期交易有效，但如果居民预期偏弱，只会产生前置消费或结构性替代。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2025年上海把“中低收入群体增收减负”放入政府工作报告，后来又形成城乡居民增收行动。这是一个重要政策信号：地方政府开始承认消费能力本身是约束变量。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如果未来消费政策更多进入就业、工资、社保、住房、托育和养老负担，上海将从“消费城市运营”进一步转向“居民收入政策”。</w:t>
      </w:r>
    </w:p>
    <w:p>
      <w:pPr>
        <w:pStyle w:val="Heading2"/>
      </w:pPr>
      <w:r>
        <w:t>细节3：外资仍然庞大，但“绝对量很大”掩盖了明显回落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2024年上海实际使用外资约176.7亿美元，绝对规模仍处全国前列；但与2023年的约240.9亿美元相比，降幅约26.6%。政府工作报告更强调绝对量而非降幅，这是典型的“表述选择”信号。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因此2025年报告对外资的政策重点，不仅是传统招商，而是国民待遇、服务业开放、自贸区制度型开放、数据跨境流动和总部研发功能。上海需要争夺的已不是普通生产环节，而是跨国公司的高附加值功能。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关注跨国公司地区总部、外资研发中心、服务业开放项目，以及外资利润再投资和高端专业服务的变化。</w:t>
      </w:r>
    </w:p>
    <w:p>
      <w:pPr>
        <w:pStyle w:val="Heading2"/>
      </w:pPr>
      <w:r>
        <w:t>细节4：上海为何反复强调“保持制造业合理比重”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对一座金融、贸易、航运和专业服务高度集中的全球城市而言，制造业并非自然扩张部门。高地价、高工资和服务业高回报会持续挤压制造业空间。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报告提出健全保持制造业合理比重投入机制，相关行动计划提出工业增加值占GDP比重保持在25%以上。它反映上海并不希望成为纯服务型城市，而是试图维持“科研—工程化—制造—金融—贸易”的完整链条。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如果制造业比重持续下降，科研成果转化、工程师生态、供应链韧性与产业资本的本地闭环都会受到影响。</w:t>
      </w:r>
    </w:p>
    <w:p>
      <w:pPr>
        <w:pStyle w:val="Heading2"/>
      </w:pPr>
      <w:r>
        <w:t>细节5：千亿元母基金意味着政府角色从“园区开发商”向“产业资本组织者”转型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2024年上海启动总规模千亿元级的三大先导产业母基金和未来产业基金，并强调“投早、投小、投长期、投硬科技”。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传统地方发展模式是土地、园区、招商和税费优惠；新模式则通过国资、财政资金和母基金撬动VC/PE，进入高风险、长周期、早期技术。政府不再只提供土地和基础设施，而是在组织资本、技术和产业化资源。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关键风险在于：政府基金能否真正容忍失败、避免行政化选项目，并形成市场化退出与专业治理。</w:t>
      </w:r>
    </w:p>
    <w:p>
      <w:pPr>
        <w:pStyle w:val="Heading2"/>
      </w:pPr>
      <w:r>
        <w:t>细节6：上海正在用“技术期权组合”而不是押注单一产业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报告列出细胞与基因治疗、脑机接口、6G、量子计算、聚变能源、类脑智能、第四代半导体等方向。这些技术共同特征是研发周期长、失败概率高、短期商业回报不确定。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这意味着产业政策正在从“选择已经证明赚钱的行业”转向“建立高风险技术期权池”。只要少数方向形成突破，就可能带来产业链和平台级收益。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评价这种政策不能只看项目数量，应看长期科研平台、技术验证、产业化率、社会资本跟投和退出机制。</w:t>
      </w:r>
    </w:p>
    <w:p>
      <w:pPr>
        <w:pStyle w:val="Heading2"/>
      </w:pPr>
      <w:r>
        <w:t>细节7：上海已经进入“存量土地时代”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2024年上海盘活处置低效产业用地约45平方公里，并通过“工业上楼”等方式增加智造空间；2025年继续提出低效建设用地减量。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过去超大城市增长依靠郊区开发、征地、卖地和新区建设；当新增建设用地空间缩小，城市竞争转向单位土地效率。上海计划指标中强调单位建设用地生产总值提高，正是这种转型的量化表达。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未来上海的空间经济学核心将从“还有多少地”变成“同一块地可以承载多少研发、制造和服务价值”。</w:t>
      </w:r>
    </w:p>
    <w:p>
      <w:pPr>
        <w:pStyle w:val="Heading2"/>
      </w:pPr>
      <w:r>
        <w:t>细节8：“工业上楼”其实是一套土地制度与产业组织创新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工业上楼表面是多层厂房，实质是在高地价、土地稀缺条件下，把研发、中试、制造、检测和总部功能垂直叠加。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这会改变工业园区开发逻辑：从大面积低密度工厂转向高强度、专业化、模块化产业空间，也要求消防、物流、设备荷载、环境标准与产权制度同步调整。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如果工业上楼仅变成“高层办公园区”，会失去制造功能；真正关键是能否满足生产工艺和供应链需求。</w:t>
      </w:r>
    </w:p>
    <w:p>
      <w:pPr>
        <w:pStyle w:val="Heading2"/>
      </w:pPr>
      <w:r>
        <w:t>细节9：城市更新第一次更明确地受到“成本约束”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2025年报告强调探索可持续城市更新模式并完善成本管控。与过去“拆旧建新”不同，房地产市场变化后，拆迁、安置、建设成本未必能由未来土地出让收益覆盖。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这意味着城市更新将更多依赖专项债、土地储备、国企长期运营、复合开发和公共价值，而不是一次性卖地回款。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未来北外滩、杨浦滨江、旧住房和城中村改造的真正考验，是形成长期现金流与公共收益的平衡。</w:t>
      </w:r>
    </w:p>
    <w:p>
      <w:pPr>
        <w:pStyle w:val="Heading2"/>
      </w:pPr>
      <w:r>
        <w:t>细节10：“财政紧平衡”比“重大项目投资额”更值得重视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2025年预算报告直接指出财政紧平衡特征更加明显。一般公共预算收入仅安排增长2%，支出增长0.3%，市级一般公共预算支出甚至预算下降。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这意味着上海并非简单“大干快上”，而是在总量约束下重排优先级：科技、民生、城市更新和重大工程要继续，普通行政和一般性支出必须更克制。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看上海财政，未来应更多关注支出结构、专项债、政府性基金和国资工具，而不是只看一般公共预算总支出。</w:t>
      </w:r>
    </w:p>
    <w:p>
      <w:pPr>
        <w:pStyle w:val="Heading2"/>
      </w:pPr>
      <w:r>
        <w:t>细节11：总支出几乎不涨，但市对区转移支付明显增长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2025年全市一般公共预算支出预算仅增长0.3%，而市对区转移支付安排增长8.5%。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这意味着在财政压力上升时，上海选择加强市级统筹，尽量保障区级教育、医疗、社保、公共安全和基层治理。财政压力可能先在区级显现，因此转移支付增长具有“托底基层”的制度含义。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关注不同区财政自给能力、土地相关收入变化，以及市级财政如何平衡中心城区与新城、浦东与其他区的公共服务。</w:t>
      </w:r>
    </w:p>
    <w:p>
      <w:pPr>
        <w:pStyle w:val="Heading2"/>
      </w:pPr>
      <w:r>
        <w:t>细节12：政府性基金“收入降、支出升”暴露了逆周期托底方式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2025年预算中政府性基金收入计划下降约3.5%，支出却增长约15.3%。这一反差说明土地等基金收入承压，但重大建设、土地储备和城市更新不能同步收缩。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因此专项债、上年结余、土地储备等工具承担更强的逆周期作用。地方财政从“当期卖地收入支持建设”转向“资产负债表工具平滑周期”。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这类模式的可持续性取决于项目未来收益、土地价值、债务期限结构以及国企资产运营能力。</w:t>
      </w:r>
    </w:p>
    <w:p>
      <w:pPr>
        <w:pStyle w:val="Heading2"/>
      </w:pPr>
      <w:r>
        <w:t>细节13：地方债正在从“修路融资”扩展为城市资产负债表工具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2025年上海地方政府债券发行规模显著扩大，资金用途覆盖轨道交通、土地储备、旧住房改造、重点产业、政府投资基金等。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这意味着地方债角色从单一基建融资，向城市更新、土地整理、产业资本和财政平滑扩展。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真正需要观察的不是债务余额本身，而是新增债务对应的资产质量、现金流、期限和是否形成长期公共生产力。</w:t>
      </w:r>
    </w:p>
    <w:p>
      <w:pPr>
        <w:pStyle w:val="Heading2"/>
      </w:pPr>
      <w:r>
        <w:t>细节14：人口结构变化已经开始重塑公共服务供给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报告提出建立“同人口变化相协调”的基本公共教育服务供给机制。2024年底上海户籍人口中60岁及以上人口占比已超过三分之一。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意味着上海未来不是简单“多建学校/多建养老院”，而是需要在区与区之间、生命周期之间重新配置公共设施。部分区域幼儿园和小学可能面临学位结构变化，养老、康复、认知障碍照护和社区助餐需求则持续上升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人口结构将逐步成为城市空间再利用的重要力量：学校、社区设施、住房和商业都需要重新适配。</w:t>
      </w:r>
    </w:p>
    <w:p>
      <w:pPr>
        <w:pStyle w:val="Heading2"/>
      </w:pPr>
      <w:r>
        <w:t>细节15：AI政策的目标已经不是“多几家AI企业”，而是把AI变成城市能力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报告把AI与制造、金融、教育、医疗、文旅和城市治理结合，并推进智能算力集群和“模塑申城”等项目。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这反映AI政策从产业招商升级为通用基础设施政策。未来价值不只是AI企业产值，而是AI能否降低政府、企业和公共服务的认知与协调成本。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真正的制度问题将转向数据权限、模型采购、审计、责任归属、隐私、安全与跨部门业务重构。</w:t>
      </w:r>
    </w:p>
    <w:p>
      <w:pPr>
        <w:pStyle w:val="Heading2"/>
      </w:pPr>
      <w:r>
        <w:t>细节16：营商环境改革进入“约束政府打扰企业”的阶段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报告强调涉企行政检查市区一体化、“两库两单”、检查计划备案、规范第三方中介、“免申即享”和“直达快享”。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早期营商环境改革主要解决审批多、跑腿多；数字政府阶段解决在线办理；新阶段开始约束政府部门本身的重复检查、证明要求和行政裁量。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这说明降低制度性交易成本，正在从“为企业多做服务”转向“政府自己少制造成本”。</w:t>
      </w:r>
    </w:p>
    <w:p>
      <w:pPr>
        <w:pStyle w:val="Heading2"/>
      </w:pPr>
      <w:r>
        <w:t>细节17：章节排序本身是政策信号——2025年明显更“问题导向”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2024年报告把“五个中心”建设放在首位；2025年第一项重点更突出扩内需、稳外需和保持经济稳定增长。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长期国家战略没有改变，但短期政策排序反映现实约束：消费、外资、企业信心、房地产和财政压力必须先稳住，才能继续推进长期结构升级。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阅读政府报告不应只数关键词，还应比较章节顺序、篇幅和新增表述。</w:t>
      </w:r>
    </w:p>
    <w:p>
      <w:pPr>
        <w:pStyle w:val="Heading2"/>
      </w:pPr>
      <w:r>
        <w:t>细节18：2025年的执行结果验证了“增长修复，但收入与名义需求仍偏弱”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1F4E79"/>
          <w:sz w:val="20"/>
        </w:rPr>
        <w:t>事实与报告表述：</w:t>
      </w:r>
      <w:r>
        <w:rPr>
          <w:rFonts w:ascii="Noto Serif CJK SC" w:hAnsi="Noto Serif CJK SC" w:eastAsia="Noto Serif CJK SC"/>
          <w:sz w:val="20"/>
        </w:rPr>
        <w:t>2025年上海GDP增长5.4%、社零恢复增长4.6%、新增就业超过目标，战略性新兴产业比重和研发强度继续提升；但居民收入增速、财政收入增速和物价仍明显低于GDP增速，实际使用外资继续承压。</w:t>
      </w:r>
    </w:p>
    <w:p>
      <w:pPr>
        <w:keepNext w:val="0"/>
        <w:spacing w:before="0" w:after="60" w:line="348" w:lineRule="auto"/>
        <w:ind w:firstLine="420"/>
      </w:pPr>
      <w:r>
        <w:rPr>
          <w:rFonts w:ascii="Noto Sans CJK SC" w:hAnsi="Noto Sans CJK SC" w:eastAsia="Noto Sans CJK SC"/>
          <w:b/>
          <w:color w:val="AA5F00"/>
          <w:sz w:val="20"/>
        </w:rPr>
        <w:t>制度含义：</w:t>
      </w:r>
      <w:r>
        <w:rPr>
          <w:rFonts w:ascii="Noto Serif CJK SC" w:hAnsi="Noto Serif CJK SC" w:eastAsia="Noto Serif CJK SC"/>
          <w:sz w:val="20"/>
        </w:rPr>
        <w:t>这说明2025年的稳增长政策有效，但结构问题没有完全消失：增长能否更稳定地转化为居民收入、财政收入和长期投资信心，仍是后续关键。</w:t>
      </w:r>
    </w:p>
    <w:p>
      <w:pPr>
        <w:keepNext w:val="0"/>
        <w:spacing w:before="0" w:after="120" w:line="348" w:lineRule="auto"/>
        <w:ind w:firstLine="420"/>
      </w:pPr>
      <w:r>
        <w:rPr>
          <w:rFonts w:ascii="Noto Sans CJK SC" w:hAnsi="Noto Sans CJK SC" w:eastAsia="Noto Sans CJK SC"/>
          <w:b/>
          <w:color w:val="506E50"/>
          <w:sz w:val="20"/>
        </w:rPr>
        <w:t>后续观察：</w:t>
      </w:r>
      <w:r>
        <w:rPr>
          <w:rFonts w:ascii="Noto Serif CJK SC" w:hAnsi="Noto Serif CJK SC" w:eastAsia="Noto Serif CJK SC"/>
          <w:sz w:val="20"/>
        </w:rPr>
        <w:t>因此2026及之后政策继续强调扩大内需、稳外资和新质生产力，并不意外。</w:t>
      </w:r>
    </w:p>
    <w:p>
      <w:pPr>
        <w:pStyle w:val="Heading1"/>
      </w:pPr>
      <w:r>
        <w:t>四、把所有细节合起来：上海正在经历的“六个换挡”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旧增长机制</w:t>
            </w:r>
          </w:p>
        </w:tc>
        <w:tc>
          <w:tcPr>
            <w:tcW w:type="dxa" w:w="2665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正在形成的新机制</w:t>
            </w:r>
          </w:p>
        </w:tc>
        <w:tc>
          <w:tcPr>
            <w:tcW w:type="dxa" w:w="2381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为什么发生</w:t>
            </w:r>
          </w:p>
        </w:tc>
        <w:tc>
          <w:tcPr>
            <w:tcW w:type="dxa" w:w="1984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主要风险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增量土地开发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存量城市更新与低效空间再开发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新增建设用地稀缺、房地产回报下降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更新成本高、现金流周期长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卖地＋基建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专项债＋土地储备＋资产运营＋国资工具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土地收入波动、重大项目不能停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债务与资产收益错配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招商引资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制度型开放＋总部/研发/服务业高端功能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普通生产环节成本优势下降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外部环境、数据与服务业开放约束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园区＋补贴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母基金＋耐心资本＋硬科技产业化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前沿技术投资周期长、市场资本不足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行政化投资、退出困难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消费节＋商圈运营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居民增收减负＋服务消费＋社会保障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消费约束更多来自收入与预期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地方权限有限、传导慢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数字政府</w:t>
            </w:r>
          </w:p>
        </w:tc>
        <w:tc>
          <w:tcPr>
            <w:tcW w:type="dxa" w:w="26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AI驱动的城市运行与公共服务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认知劳动成本下降、数据基础形成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责任、安全、隐私与流程再造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745"/>
            <w:shd w:fill="E8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总判断　</w:t>
            </w:r>
            <w:r>
              <w:rPr>
                <w:rFonts w:ascii="Noto Serif CJK SC" w:hAnsi="Noto Serif CJK SC" w:eastAsia="Noto Serif CJK SC"/>
                <w:sz w:val="20"/>
              </w:rPr>
              <w:t>上海未来真正的竞争力，不再取决于是否还能复制过去“新区＋卖地＋招商＋基建”的高速扩张，而取决于能否在存量城市中提高单位土地、单位资本和单位公共资源的产出效率。</w:t>
            </w:r>
          </w:p>
        </w:tc>
      </w:tr>
    </w:tbl>
    <w:p>
      <w:pPr>
        <w:spacing w:after="0"/>
      </w:pPr>
    </w:p>
    <w:p>
      <w:pPr>
        <w:pStyle w:val="Heading1"/>
      </w:pPr>
      <w:r>
        <w:t>五、增长模式重构：从“城市扩张”到“城市生产率”</w:t>
      </w:r>
    </w:p>
    <w:p>
      <w:pPr>
        <w:pStyle w:val="Heading2"/>
      </w:pPr>
      <w:r>
        <w:t>1. 旧增长模型为什么越来越难复制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上海过去二三十年的高速增长具有非常典型的城市化红利：土地增量、房地产开发、基础设施扩张、外资制造、出口、人口流入和服务业集聚相互强化。这个模型的优势是能够快速形成可见投资、税收和就业，但前提是存在大量可开发土地、持续房地产需求、全球产业链扩张和较强人口增长。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当上海进入高密度成熟城市阶段，上述前提同时发生变化：土地新增空间减少、房地产边际回报下降、外资结构变化、人口老龄化、居民消费更重服务与质量、产业竞争转向科研和高端制造。继续沿用旧模式会出现“成本越来越高、增量越来越小”。</w:t>
      </w:r>
    </w:p>
    <w:p>
      <w:pPr>
        <w:pStyle w:val="Heading2"/>
      </w:pPr>
      <w:r>
        <w:t>2. 新增长模型的核心变量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单位建设用地创造的增加值，而非新增土地规模；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科研成果转化效率，而非单纯研发投入总量；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制造业与服务业的耦合，而非二者此消彼长；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居民收入和服务消费，而非一次性商品促销；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资本长期配置能力，而非短期招商补贴；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城市更新的长期运营收益，而非单次土地出让；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跨国公司总部、研发、资金和数据功能，而非简单生产落地；</w:t>
      </w:r>
    </w:p>
    <w:p>
      <w:pPr>
        <w:pStyle w:val="ListBullet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公共服务对人口结构变化的适应效率。</w:t>
      </w:r>
    </w:p>
    <w:p>
      <w:pPr>
        <w:pStyle w:val="Heading1"/>
      </w:pPr>
      <w:r>
        <w:t>六、财政暗线：真正的变化不在“花多少钱”，而在“钱从哪里来、流向哪里”</w:t>
      </w:r>
    </w:p>
    <w:p>
      <w:pPr>
        <w:pStyle w:val="Heading2"/>
      </w:pPr>
      <w:r>
        <w:t>1. 2025年财政预算的三个反差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2608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财政项目</w:t>
            </w:r>
          </w:p>
        </w:tc>
        <w:tc>
          <w:tcPr>
            <w:tcW w:type="dxa" w:w="1871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2025年预算变化</w:t>
            </w:r>
          </w:p>
        </w:tc>
        <w:tc>
          <w:tcPr>
            <w:tcW w:type="dxa" w:w="4422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值得注意之处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一般公共预算收入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约+2%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明显低于GDP目标，财政对名义增长更敏感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一般公共预算支出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约+0.3%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总量几乎不扩张，强调支出结构优化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市对区转移支付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约+8.5%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基层保障优先于市级一般性支出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政府性基金收入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约-3.5%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土地等基金收入承压</w:t>
            </w:r>
          </w:p>
        </w:tc>
      </w:tr>
      <w:tr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政府性基金支出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约+15.3%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通过债务和结余等工具逆周期托底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这组反差说明：上海财政正在从“收入扩张驱动支出”转向“在收入约束下通过债务、资产和结构调整维持重点投入”。这不是简单的财政困难，而是成熟城市财政模式转换。</w:t>
      </w:r>
    </w:p>
    <w:p>
      <w:pPr>
        <w:pStyle w:val="Heading2"/>
      </w:pPr>
      <w:r>
        <w:t>2. 财政结构变化的制度含义</w:t>
      </w:r>
    </w:p>
    <w:p>
      <w:pPr>
        <w:pStyle w:val="ListNumber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财政资源更加集中到科技创新、产业投资、城市更新、民生和重大基础设施。</w:t>
      </w:r>
    </w:p>
    <w:p>
      <w:pPr>
        <w:pStyle w:val="ListNumber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市级财政承担更强的区级托底功能，降低不同区域财政能力差异对公共服务的冲击。</w:t>
      </w:r>
    </w:p>
    <w:p>
      <w:pPr>
        <w:pStyle w:val="ListNumber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专项债和政府性基金成为平滑土地财政周期的重要工具。</w:t>
      </w:r>
    </w:p>
    <w:p>
      <w:pPr>
        <w:pStyle w:val="ListNumber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国资、基金和土地储备工具的重要性上升，政府资产负债表管理能力比过去更重要。</w:t>
      </w:r>
    </w:p>
    <w:p>
      <w:pPr>
        <w:pStyle w:val="ListNumber"/>
        <w:spacing w:after="40" w:line="312" w:lineRule="auto"/>
      </w:pPr>
      <w:r>
        <w:rPr>
          <w:rFonts w:ascii="Noto Serif CJK SC" w:hAnsi="Noto Serif CJK SC" w:eastAsia="Noto Serif CJK SC"/>
          <w:sz w:val="20"/>
        </w:rPr>
        <w:t>项目是否形成长期资产和现金流，将越来越决定财政模式能否持续。</w:t>
      </w:r>
    </w:p>
    <w:p>
      <w:pPr>
        <w:pStyle w:val="Heading1"/>
      </w:pPr>
      <w:r>
        <w:t>七、产业暗线：新质生产力背后，是“科研—资本—制造—市场”的完整闭环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很多讨论把“新质生产力”理解成列出一批前沿技术。上海报告更值得关注的是其组织方式：既强调基础研究、重大科技基础设施，也强调母基金、耐心资本、中试平台、产业空间和制造业比重。换言之，上海试图解决的不是“有没有论文和技术”，而是如何把技术变成持续的城市产业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745"/>
            <w:shd w:fill="F0F6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/>
                <w:color w:val="477447"/>
                <w:sz w:val="21"/>
              </w:rPr>
              <w:t xml:space="preserve">关键结构　</w:t>
            </w:r>
            <w:r>
              <w:rPr>
                <w:rFonts w:ascii="Noto Serif CJK SC" w:hAnsi="Noto Serif CJK SC" w:eastAsia="Noto Serif CJK SC"/>
                <w:sz w:val="20"/>
              </w:rPr>
              <w:t>科研机构提供知识与人才 → 国资/政府基金承担早期资本缺口 → 中试与产业空间承担工程化 → 先进制造形成规模化能力 → 金融、贸易和全球市场完成变现与扩散。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这一闭环如果建立成功，上海将区别于纯金融城市、纯制造城市和单一互联网城市；如果失败，则可能出现科研很强、资本很多、园区很多，但产业化效率不高的“断链”。</w:t>
      </w:r>
    </w:p>
    <w:p>
      <w:pPr>
        <w:pStyle w:val="Heading1"/>
      </w:pPr>
      <w:r>
        <w:t>八、人口与城市治理：老龄化不是单一养老问题，而是公共资源重排问题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上海的人口结构变化会同时作用于教育、养老、医疗、住房、交通、消费和社区空间。报告提出教育服务与人口变化相协调，说明政府已开始从“总量扩张”转向“结构适配”。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304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领域</w:t>
            </w:r>
          </w:p>
        </w:tc>
        <w:tc>
          <w:tcPr>
            <w:tcW w:type="dxa" w:w="3118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传统思路</w:t>
            </w:r>
          </w:p>
        </w:tc>
        <w:tc>
          <w:tcPr>
            <w:tcW w:type="dxa" w:w="4422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人口变化后的新问题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教育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持续增加学位和校舍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不同区学龄人口分化，部分设施需要转型再利用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养老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增加养老床位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认知障碍照护、社区助餐、居家照护和医养结合更重要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住房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解决新增家庭住房需求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老年友好改造、存量住房品质、社区服务半径更重要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消费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年轻人口消费扩张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银发经济、医疗健康、文化休闲和服务消费比重提高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交通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通勤效率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无障碍、慢行、社区生活圈与就医可达性更加重要</w:t>
            </w:r>
          </w:p>
        </w:tc>
      </w:tr>
    </w:tbl>
    <w:p>
      <w:pPr>
        <w:spacing w:after="20"/>
      </w:pPr>
    </w:p>
    <w:p>
      <w:pPr>
        <w:pStyle w:val="Heading1"/>
      </w:pPr>
      <w:r>
        <w:t>九、AI与营商环境：从“数字化办事”走向“制度成本下降”</w:t>
      </w:r>
    </w:p>
    <w:p>
      <w:pPr>
        <w:pStyle w:val="Heading2"/>
      </w:pPr>
      <w:r>
        <w:t>1. AI将从产业变量变成行政变量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如果AI真正进入制造、金融、医疗、教育和城市治理，它将影响政府业务流程本身。未来需要重新定义：哪些事项由模型初筛，哪些必须人工决策；模型错误由谁负责；政府数据如何授权；采购的模型如何审计；不同部门能否共享模型和数据能力。</w:t>
      </w:r>
    </w:p>
    <w:p>
      <w:pPr>
        <w:pStyle w:val="Heading2"/>
      </w:pPr>
      <w:r>
        <w:t>2. 营商环境的第三阶段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587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阶段</w:t>
            </w:r>
          </w:p>
        </w:tc>
        <w:tc>
          <w:tcPr>
            <w:tcW w:type="dxa" w:w="3402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主要问题</w:t>
            </w:r>
          </w:p>
        </w:tc>
        <w:tc>
          <w:tcPr>
            <w:tcW w:type="dxa" w:w="3855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改革方式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第一阶段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审批事项多、材料多、窗口多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减审批、简流程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第二阶段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办理仍需跑腿、信息不互通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一网通办、数据共享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8"/>
              </w:rPr>
              <w:t>第三阶段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重复检查、随意检查、政策申报成本高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8"/>
              </w:rPr>
              <w:t>规范行政检查、免申即享、直达快享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第三阶段的本质不是政府“做更多”，而是政府减少自身制造的不确定性和交易成本。这种变化往往比一次性补贴更能影响企业长期预期。</w:t>
      </w:r>
    </w:p>
    <w:p>
      <w:pPr>
        <w:pStyle w:val="Heading1"/>
      </w:pPr>
      <w:r>
        <w:t>十、事后验证：用2025年实际执行结果检验报告判断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指标</w:t>
            </w:r>
          </w:p>
        </w:tc>
        <w:tc>
          <w:tcPr>
            <w:tcW w:type="dxa" w:w="1871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2025年目标</w:t>
            </w:r>
          </w:p>
        </w:tc>
        <w:tc>
          <w:tcPr>
            <w:tcW w:type="dxa" w:w="1871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2025年实际结果</w:t>
            </w:r>
          </w:p>
        </w:tc>
        <w:tc>
          <w:tcPr>
            <w:tcW w:type="dxa" w:w="2948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结果评价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GDP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5%左右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5.4%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增长超目标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一般公共预算收入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约+2%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约+1.5%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仍弱于GDP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战略性新兴产业占规上工业比重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约44%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约45%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结构升级继续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研发经费投入强度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约4.5%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约4.5%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维持高投入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新增就业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60万人以上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约64.1万人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就业完成较好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居民人均可支配收入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与经济增长同步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约+4.1%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仍低于GDP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CPI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约+2%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约+0.1%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名义需求偏弱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社会消费品零售总额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推动恢复增长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约+4.6%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消费明显修复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2025年的执行结果验证了报告的两个判断：第一，上海增长仍有较强韧性，科技、产业和消费修复可以支撑5%以上增长；第二，收入、财政和价格等名义指标仍弱于实际GDP，说明“让增长更充分转化为居民收入和企业长期预期”仍是难题。</w:t>
      </w:r>
    </w:p>
    <w:p>
      <w:pPr>
        <w:pStyle w:val="Heading1"/>
      </w:pPr>
      <w:r>
        <w:t>十一、未来5—10年最值得观察的五条主线</w:t>
      </w:r>
    </w:p>
    <w:p>
      <w:pPr>
        <w:pStyle w:val="Heading2"/>
      </w:pPr>
      <w:r>
        <w:t>1. 居民消费是否从政策刺激转为内生增长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如果居民收入、就业和社会保障预期改善，消费增长才能从以旧换新和活动刺激转向稳定服务消费。</w:t>
      </w:r>
    </w:p>
    <w:p>
      <w:pPr>
        <w:spacing w:after="120"/>
        <w:ind w:left="227"/>
      </w:pPr>
      <w:r>
        <w:rPr>
          <w:rFonts w:ascii="Noto Sans CJK SC" w:hAnsi="Noto Sans CJK SC" w:eastAsia="Noto Sans CJK SC"/>
          <w:b/>
          <w:color w:val="1F4E79"/>
          <w:sz w:val="19"/>
        </w:rPr>
        <w:t>建议跟踪指标：</w:t>
      </w:r>
      <w:r>
        <w:rPr>
          <w:rFonts w:ascii="Noto Serif CJK SC" w:hAnsi="Noto Serif CJK SC" w:eastAsia="Noto Serif CJK SC"/>
          <w:sz w:val="19"/>
        </w:rPr>
        <w:t>居民可支配收入、社零、服务零售、储蓄率、青年就业、住房支出负担</w:t>
      </w:r>
    </w:p>
    <w:p>
      <w:pPr>
        <w:pStyle w:val="Heading2"/>
      </w:pPr>
      <w:r>
        <w:t>2. 外资能否从“资金流入”升级为“全球功能集聚”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上海的竞争对象不再只是其他中国城市，还包括新加坡、香港、东京等全球节点。未来更重要的是跨国公司是否把总部、研发、资金管理、专业服务和数据功能留在上海。</w:t>
      </w:r>
    </w:p>
    <w:p>
      <w:pPr>
        <w:spacing w:after="120"/>
        <w:ind w:left="227"/>
      </w:pPr>
      <w:r>
        <w:rPr>
          <w:rFonts w:ascii="Noto Sans CJK SC" w:hAnsi="Noto Sans CJK SC" w:eastAsia="Noto Sans CJK SC"/>
          <w:b/>
          <w:color w:val="1F4E79"/>
          <w:sz w:val="19"/>
        </w:rPr>
        <w:t>建议跟踪指标：</w:t>
      </w:r>
      <w:r>
        <w:rPr>
          <w:rFonts w:ascii="Noto Serif CJK SC" w:hAnsi="Noto Serif CJK SC" w:eastAsia="Noto Serif CJK SC"/>
          <w:sz w:val="19"/>
        </w:rPr>
        <w:t>跨国公司总部、外资研发中心、服务业FDI、再投资利润、国际人才</w:t>
      </w:r>
    </w:p>
    <w:p>
      <w:pPr>
        <w:pStyle w:val="Heading2"/>
      </w:pPr>
      <w:r>
        <w:t>3. 城市更新能否形成不依赖高地价的可持续商业模式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如果旧改只能靠高价卖地，房地产回报下降后模式会失效。未来要依赖长期租金、商业运营、公共服务价值、土地储备和财政工具组合。</w:t>
      </w:r>
    </w:p>
    <w:p>
      <w:pPr>
        <w:spacing w:after="120"/>
        <w:ind w:left="227"/>
      </w:pPr>
      <w:r>
        <w:rPr>
          <w:rFonts w:ascii="Noto Sans CJK SC" w:hAnsi="Noto Sans CJK SC" w:eastAsia="Noto Sans CJK SC"/>
          <w:b/>
          <w:color w:val="1F4E79"/>
          <w:sz w:val="19"/>
        </w:rPr>
        <w:t>建议跟踪指标：</w:t>
      </w:r>
      <w:r>
        <w:rPr>
          <w:rFonts w:ascii="Noto Serif CJK SC" w:hAnsi="Noto Serif CJK SC" w:eastAsia="Noto Serif CJK SC"/>
          <w:sz w:val="19"/>
        </w:rPr>
        <w:t>土地出让收入、旧改投资、专项债、国企资产运营收益、核心区租售表现</w:t>
      </w:r>
    </w:p>
    <w:p>
      <w:pPr>
        <w:pStyle w:val="Heading2"/>
      </w:pPr>
      <w:r>
        <w:t>4. 政府产业基金能否形成真正的“耐心资本”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最关键不是基金规模，而是能否容忍失败、专业决策、长期持有并与社会资本形成合理风险分担。</w:t>
      </w:r>
    </w:p>
    <w:p>
      <w:pPr>
        <w:spacing w:after="120"/>
        <w:ind w:left="227"/>
      </w:pPr>
      <w:r>
        <w:rPr>
          <w:rFonts w:ascii="Noto Sans CJK SC" w:hAnsi="Noto Sans CJK SC" w:eastAsia="Noto Sans CJK SC"/>
          <w:b/>
          <w:color w:val="1F4E79"/>
          <w:sz w:val="19"/>
        </w:rPr>
        <w:t>建议跟踪指标：</w:t>
      </w:r>
      <w:r>
        <w:rPr>
          <w:rFonts w:ascii="Noto Serif CJK SC" w:hAnsi="Noto Serif CJK SC" w:eastAsia="Noto Serif CJK SC"/>
          <w:sz w:val="19"/>
        </w:rPr>
        <w:t>基金实际投资率、社会资本撬动倍数、退出率、中试转化率、产业化项目数量</w:t>
      </w:r>
    </w:p>
    <w:p>
      <w:pPr>
        <w:pStyle w:val="Heading2"/>
      </w:pPr>
      <w:r>
        <w:t>5. 上海能否同时保住先进制造和全球服务能力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这决定上海是否能形成“科技—制造—金融—贸易”的复合型全球城市，而不是产业链中的单一环节。</w:t>
      </w:r>
    </w:p>
    <w:p>
      <w:pPr>
        <w:spacing w:after="120"/>
        <w:ind w:left="227"/>
      </w:pPr>
      <w:r>
        <w:rPr>
          <w:rFonts w:ascii="Noto Sans CJK SC" w:hAnsi="Noto Sans CJK SC" w:eastAsia="Noto Sans CJK SC"/>
          <w:b/>
          <w:color w:val="1F4E79"/>
          <w:sz w:val="19"/>
        </w:rPr>
        <w:t>建议跟踪指标：</w:t>
      </w:r>
      <w:r>
        <w:rPr>
          <w:rFonts w:ascii="Noto Serif CJK SC" w:hAnsi="Noto Serif CJK SC" w:eastAsia="Noto Serif CJK SC"/>
          <w:sz w:val="19"/>
        </w:rPr>
        <w:t>工业增加值占比、高技术制造增速、研发强度、生产性服务业、出口技术含量</w:t>
      </w:r>
    </w:p>
    <w:p>
      <w:pPr>
        <w:pStyle w:val="Heading1"/>
      </w:pPr>
      <w:r>
        <w:t>十二、最终结论：上海正在寻找“成熟超大城市的第二增长曲线”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如果把2025年报告放到更长的历史周期中看，上海面临的不是简单“增速高一点还是低一点”，而是增长制度本身发生切换。过去的主要发动机可以概括为“土地＋房地产＋基础设施＋外资＋出口＋人口流入”；未来需要依靠“科技创新＋先进制造＋全球金融贸易＋居民消费＋存量更新＋高效率土地利用＋产业资本＋数字治理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9745"/>
            <w:shd w:fill="E8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最重要的一句话　</w:t>
            </w:r>
            <w:r>
              <w:rPr>
                <w:rFonts w:ascii="Noto Serif CJK SC" w:hAnsi="Noto Serif CJK SC" w:eastAsia="Noto Serif CJK SC"/>
                <w:sz w:val="20"/>
              </w:rPr>
              <w:t>上海真正的挑战，不是找到一个新的“超级产业”替代房地产，而是同时重构城市的空间生产率、资本配置方式、居民需求、外资功能、财政工具和公共服务，使多个新发动机共同承担增长。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因此，报告中一边出现脑机接口、6G、聚变能源，一边出现消费券、旧房改造、稳就业；一边要求政府“过紧日子”，一边通过专项债、产业基金和政府性基金维持关键投入。这些并不矛盾，而是成熟城市在旧模式退潮、新模式尚未完全成熟时的典型政策组合。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从这个角度看，2025年上海政府工作报告最值得记住的不是某一个年度数字，而是它已经清楚地暴露出：上海的下一阶段发展，不再主要靠“扩张城市边界”，而要靠“提高城市内部每一单位土地、资本、人才和制度资源的产出效率”。</w:t>
      </w:r>
    </w:p>
    <w:p>
      <w:pPr>
        <w:pStyle w:val="Heading1"/>
      </w:pPr>
      <w:r>
        <w:t>附录A：主要资料来源与核验路径</w:t>
      </w:r>
    </w:p>
    <w:p>
      <w:pPr>
        <w:keepNext w:val="0"/>
        <w:spacing w:before="0" w:after="100" w:line="348" w:lineRule="auto"/>
        <w:ind w:firstLine="420"/>
      </w:pPr>
      <w:r>
        <w:rPr>
          <w:rFonts w:ascii="Noto Serif CJK SC" w:hAnsi="Noto Serif CJK SC" w:eastAsia="Noto Serif CJK SC"/>
          <w:sz w:val="21"/>
        </w:rPr>
        <w:t>下列资料用于核对政府工作报告中的目标、执行数据和预算结构。正文中的“制度含义”“未来判断”属于基于这些资料的分析推断，并非政府原文。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[1] 上海市人民政府：2025年政府工作报告（总页面）：</w:t>
      </w:r>
      <w:hyperlink r:id="rId11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[2] 上海市人民政府：2025年主要任务——扩内需、稳外需：</w:t>
      </w:r>
      <w:hyperlink r:id="rId12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[3] 上海市人民政府：2025年主要任务——新质生产力/产业：</w:t>
      </w:r>
      <w:hyperlink r:id="rId13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[4] 上海市人民政府：2025年主要任务——城市建设与治理：</w:t>
      </w:r>
      <w:hyperlink r:id="rId14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[5] 上海市人民政府：2025年主要任务——民生保障：</w:t>
      </w:r>
      <w:hyperlink r:id="rId15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[6] 上海市人民政府：2024年国民经济和社会发展计划执行情况与2025年计划：</w:t>
      </w:r>
      <w:hyperlink r:id="rId16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[7] 上海市人民政府：2025年预算报告：</w:t>
      </w:r>
      <w:hyperlink r:id="rId17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[8] 上海市人民政府：2024年经济运行/统计相关资料：</w:t>
      </w:r>
      <w:hyperlink r:id="rId18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[9] 上海市人民政府：2024年政府工作回顾：</w:t>
      </w:r>
      <w:hyperlink r:id="rId19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[10] 上海市人民政府：制造业高质量发展相关行动计划：</w:t>
      </w:r>
      <w:hyperlink r:id="rId20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[11] 上海市人民政府：2025年提振消费专项行动相关文件：</w:t>
      </w:r>
      <w:hyperlink r:id="rId21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[12] 上海市人民政府：2025年预算执行情况与2026年预算报告：</w:t>
      </w:r>
      <w:hyperlink r:id="rId22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spacing w:after="60"/>
        <w:ind w:left="170"/>
      </w:pPr>
      <w:r>
        <w:rPr>
          <w:rFonts w:ascii="Noto Sans CJK SC" w:hAnsi="Noto Sans CJK SC" w:eastAsia="Noto Sans CJK SC"/>
          <w:b/>
          <w:sz w:val="18"/>
        </w:rPr>
        <w:t>[13] 上海市人民政府：2025年国民经济和社会发展计划执行情况与2026年计划：</w:t>
      </w:r>
      <w:hyperlink r:id="rId23">
        <w:r>
          <w:rPr>
            <w:color w:val="2F5597"/>
            <w:u w:val="single"/>
            <w:rFonts w:ascii="Noto Sans CJK SC" w:hAnsi="Noto Sans CJK SC" w:eastAsia="Noto Sans CJK SC"/>
          </w:rPr>
          <w:t>查看官方页面</w:t>
        </w:r>
      </w:hyperlink>
    </w:p>
    <w:p>
      <w:pPr>
        <w:pStyle w:val="Heading1"/>
      </w:pPr>
      <w:r>
        <w:t>附录B：建议建立的年度跟踪仪表盘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tblHeader w:val="true"/>
        </w:trPr>
        <w:tc>
          <w:tcPr>
            <w:tcW w:type="dxa" w:w="1474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模块</w:t>
            </w:r>
          </w:p>
        </w:tc>
        <w:tc>
          <w:tcPr>
            <w:tcW w:type="dxa" w:w="4025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核心指标</w:t>
            </w:r>
          </w:p>
        </w:tc>
        <w:tc>
          <w:tcPr>
            <w:tcW w:type="dxa" w:w="3458"/>
            <w:shd w:fill="D9EA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为什么重要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居民部门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居民收入、社零、服务消费、储蓄率、房租/房贷负担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判断内需是否从政策刺激转向内生增长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企业部门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工业利润、民间投资、新设企业、融资成本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判断企业信心和资本开支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外资开放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实际使用外资、总部、研发中心、服务业开放项目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判断上海全球功能是否强化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土地房地产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土地出让、低效用地盘活、城市更新投资、租售价格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判断存量城市模式的经济可持续性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财政债务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一般预算收入、政府性基金、专项债、转移支付、债务期限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判断财政平滑周期能力和风险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科技产业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R&amp;D强度、战略新兴产业占比、母基金投资、中试转化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判断新增长发动机是否成熟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人口民生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出生人口、老龄化、学龄人口、养老床位、就业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判断公共服务再配置压力</w:t>
            </w:r>
          </w:p>
        </w:tc>
      </w:tr>
      <w:t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城市治理</w:t>
            </w:r>
          </w:p>
        </w:tc>
        <w:tc>
          <w:tcPr>
            <w:tcW w:type="dxa" w:w="402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AI政务应用、行政检查频次、免申即享覆盖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sz w:val="17"/>
              </w:rPr>
              <w:t>判断制度性交易成本是否下降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19" w:bottom="1134" w:left="127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78787"/>
        <w:sz w:val="16"/>
      </w:rPr>
      <w:t>研究报告　·　2026年8月整理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08080"/>
        <w:sz w:val="17"/>
      </w:rPr>
      <w:t>上海市2025年政府工作报告｜深度研究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hanghai.gov.cn/nw12336/20250120/2695cf0504374312b7869955d0f0f817.html" TargetMode="External"/><Relationship Id="rId12" Type="http://schemas.openxmlformats.org/officeDocument/2006/relationships/hyperlink" Target="https://www.shanghai.gov.cn/2025nzyrw/20250120/f08d9b876e7b4d97ac99fa26db4df3b5.html" TargetMode="External"/><Relationship Id="rId13" Type="http://schemas.openxmlformats.org/officeDocument/2006/relationships/hyperlink" Target="https://www.shanghai.gov.cn/2025nzyrw/20250120/180615c41cc54436a96102bee99d6aca.html" TargetMode="External"/><Relationship Id="rId14" Type="http://schemas.openxmlformats.org/officeDocument/2006/relationships/hyperlink" Target="https://www.shanghai.gov.cn/2025nzyrw/20250120/f29e14eca70c416ca9001c03edb7ddcd.html" TargetMode="External"/><Relationship Id="rId15" Type="http://schemas.openxmlformats.org/officeDocument/2006/relationships/hyperlink" Target="https://www.shanghai.gov.cn/2025nzyrw/20250120/671e9e0c4b1b45a097f05136afa5cf24.html" TargetMode="External"/><Relationship Id="rId16" Type="http://schemas.openxmlformats.org/officeDocument/2006/relationships/hyperlink" Target="https://www.shanghai.gov.cn/nw12337/20250213/cff1fa36a4f440409c911ee55a240663.html" TargetMode="External"/><Relationship Id="rId17" Type="http://schemas.openxmlformats.org/officeDocument/2006/relationships/hyperlink" Target="https://www.shanghai.gov.cn/nw12338/20250507/1b91aa1dab60430bad974ff87092f75a.html" TargetMode="External"/><Relationship Id="rId18" Type="http://schemas.openxmlformats.org/officeDocument/2006/relationships/hyperlink" Target="https://www.shanghai.gov.cn/nw31406/20250122/69acf99e47e044739545ee2c641db33a.html" TargetMode="External"/><Relationship Id="rId19" Type="http://schemas.openxmlformats.org/officeDocument/2006/relationships/hyperlink" Target="https://www.shanghai.gov.cn/2024ngzhg/20250120/302d3853c9674ca6a04825b268dc214f.html" TargetMode="External"/><Relationship Id="rId20" Type="http://schemas.openxmlformats.org/officeDocument/2006/relationships/hyperlink" Target="https://www.shanghai.gov.cn/qtsj/20250610/8d86c5373c2946cb94836a6b4d75675b.html" TargetMode="External"/><Relationship Id="rId21" Type="http://schemas.openxmlformats.org/officeDocument/2006/relationships/hyperlink" Target="https://www.shanghai.gov.cn/202511bgtwj/20250611/3e411c12c19d4b6badaf0f0e00679aa7.html" TargetMode="External"/><Relationship Id="rId22" Type="http://schemas.openxmlformats.org/officeDocument/2006/relationships/hyperlink" Target="https://www.shanghai.gov.cn/nw12338/20260515/a97f758537314ce7b2c0e26614e179f6.html" TargetMode="External"/><Relationship Id="rId23" Type="http://schemas.openxmlformats.org/officeDocument/2006/relationships/hyperlink" Target="https://www.shanghai.gov.cn/nw12337/20260324/cb9200da4ac04fba9aea428d8c444db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