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北京市2025年政府工作报告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从首都功能、科技创新、财政结构、疏解减量、人口与城市治理等暗线重新理解北京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研究对象：2025年北京政府工作报告及同期财政、国民经济和社会发展统计资料、2026年官方复盘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二、先看北京的特殊底盘：这不是一个普通的省域经济体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三、最关键的宏观错位：GDP突破五万亿，但“收入与体感”没有同步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四、容易被忽视、但信号很重的细节（16条）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五、把所有细节连起来：北京正在经历的“六个换挡”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六、增长暗线：减量发展下的“生产函数重写”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七、财政暗线：收入靠税、支出靠中央、本质是“资本—科技—税源”闭环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八、产业暗线：从“信息产业”到“人工智能+未来产业”的完整链条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九、首都功能与城市治理：疏解、副中心与京津冀协同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十、人口与公共服务：控减总量、重排结构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十一、数据要素与AI：全国制度高地与政策红利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十四、最终结论：北京在“超大城市第二增长曲线”上的独特打法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的北京最显眼的是“GDP突破5.2万亿元、首次迈入五万亿之城”、“人工智能、大模型、人形机器人”和“数字经济占比46%”。但政府工作报告真正值得关注的，是北京这座“首都”如何在一个人口控减、疏解非首都功能、土地减量、城市更新受成本约束的独特环境里，重建自己的增长函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把2025年初《政府工作报告》设定的目标、2025年《国民经济和社会发展统计公报》与计划报告、以及2026年报告对2025年的复盘放在一起看，会得到一条更完整的暗线：</w:t>
      </w:r>
      <w:r>
        <w:rPr>
          <w:rFonts w:ascii="微软雅黑" w:hAnsi="微软雅黑" w:eastAsia="微软雅黑"/>
          <w:b/>
          <w:color w:val="1F2A44"/>
          <w:sz w:val="22"/>
        </w:rPr>
        <w:t>北京正在从“信息产业与总部服务”驱动的存量型增长，切换到“科技创新＋数据要素＋未来产业＋京津冀协同＋高质量发展”的组合增长</w:t>
      </w:r>
      <w:r>
        <w:rPr>
          <w:rFonts w:ascii="微软雅黑" w:hAnsi="微软雅黑" w:eastAsia="微软雅黑"/>
          <w:b w:val="0"/>
          <w:color w:val="1F2A44"/>
          <w:sz w:val="22"/>
        </w:rPr>
        <w:t>。旧机制（房地产、土地出让、一般性扩张投资）在持续退出，新机制（科技资本、数据要素、先进制造、高附加值服务）被要求更快补位。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因此，本报告不按政府工作报告原有章节逐段复述，而采用“显性表述—同期数据—制度含义—长期影响”的方式，专门提取容易被忽视、但对判断北京未来5—10年发展模式更有价值的信号。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北京不需要靠“摊大饼”增长，但它必须回答一个更硬的命题——能否把最强的科研与数据要素，转成足够厚实的实体产业链、足够可持续的财政收入和足够可感的民生进步。</w:t>
      </w:r>
      <w:r>
        <w:rPr>
          <w:rFonts w:ascii="微软雅黑" w:hAnsi="微软雅黑" w:eastAsia="微软雅黑"/>
          <w:b w:val="0"/>
          <w:color w:val="1F2A44"/>
          <w:sz w:val="22"/>
        </w:rPr>
        <w:t>换言之，观察北京，不是看它“想做什么”，而是看它“在约束里怎么排优先级”。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一页速览：2025年北京经济的“表与里”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5.2万亿、+5.4%（高于全国0.4pct）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名义与财政同步，但结构与居民体感分化：社零降、进口降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科技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数字经济增加值+8.7%、占GDP 46.4%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增长高度依赖科技与服务，转向“人工智能+未来产业”闭环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固定资产投资+5.5%、设备购置+66%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从“基建”转向“高技术+设备更新”，重质胜于重量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一般公共预算收入+4.8%、税收+5.5%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税收强、支出紧，科技与民生结构性增长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土地房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房地产开发投资-15.5%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存量时代、保障房补位，土地依赖下降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常住人口减少3.2万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空间减量，公共服务从总量扩张转向结构重排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出口创历史新高、新设外资+19.5%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告别规模招商，转向制度型开放与研发功能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数据与AI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大模型备案全国第一、成立数据集团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数据作为新要素，北京正争取“全国数字治理高地”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与上海、杭州系列采用一致口径：以《北京市政府工作报告》为“显性文本”，与同期《国民经济和社会发展统计公报》《国民经济和社会发展计划》、财政预算执行报告、以及覆盖2025全年的2026年官方复盘并读。核心是识别“显性表述与真实信号之间的落差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对北京而言，还要注意几个“口径问题”：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北京GDP含大量中央单位与总部经济（央企、金融机构、科院机构），口径不等于“市域居民”体感。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绝对量与增速口径：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进出口受进口及大宗商品影响波动大，2025年进出口-11.5%主要是进口-14.6%拖累，出口+3.8%创历史新高，须分开看。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减量口径：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土地出让收入与房地产开发投资持续下降，既是“减量发展”路径结果，也放大短期财政与投资压力。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评价时点：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2026年报告对2025年是“事后对账”，是最好“事后验证”，但其评价偏正面。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本文对“能通过官方数据交叉核实的事实”与“分析性推断”做了明确区分，后者请视作判断结论、而非官方承诺。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二、先看北京的特殊底盘：它不是普通的省域经济体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首都功能（四个中心）：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政治、文化、国际交往、科技创新中心，产业不能只看经济账，还承担国家战略功能。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疏解与减量：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“减量发展”是北京的独特约束——人口与建设用地持续减量，不能靠“摊大饼”扩张。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总部与央企：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大量央企、部委、高校、科研院所集中，GDP与财政含明显“国家资源注入”。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禀赋：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三产占86.0%，是全国最典型“服务业主导+科创驱动”的城市之一。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核心提醒：把北京当普通城市去读报告，会误判它的增长路径；必须始终带着“首都功能＋减量约束＋国家科创高地”三个前提。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三、最关键的宏观错位：GDP破五万亿，但“收入与体感”没有同步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2025年北京GDP52073.4亿元、+5.4%（高于全国0.4pct），人均GDP约23.9万元、全国第一梯队。这确实很强。但把报告继续读下去，会发现一些并不那么强的反差：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强的一面</w:t>
            </w:r>
          </w:p>
        </w:tc>
        <w:tc>
          <w:tcPr>
            <w:tcW w:type="dxa" w:w="408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弱或冷的一面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需求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固定资产投资+5.5%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房地产开发投资-15.5%、社零下降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出口+3.8%、创历史新高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进出口总额-11.5%（进口-14.6%）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居民人均可支配收入实际+4.4%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财产性收入增长慢（+0.7%）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就业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调查失业率4.1%、新增就业33万人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稳定靠刺激岗位与帮扶，普通人收入与房价体感仍分化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一个关键落差：</w:t>
      </w:r>
      <w:r>
        <w:rPr>
          <w:rFonts w:ascii="微软雅黑" w:hAnsi="微软雅黑" w:eastAsia="微软雅黑"/>
          <w:b/>
          <w:color w:val="1F2A44"/>
          <w:sz w:val="22"/>
        </w:rPr>
        <w:t>强的“供给侧”（科技、制造、出口、研发），冷的“传统需求侧”（房地产、住宅消费）与居民财产性收入。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这与全国“供给强、需求弱”同构，但北京尤其依赖高研发与数据要素，要分辨“宏观报表”与“市场体感”的错位。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结论：北京的关键不是“增长有没有”，而是“增长结构能否持续托起就业、收入和财政”。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四、容易被忽视、但信号很重的细节（16条）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细节1：北京把“核心技术临界”当作长期任务，而不只是“承接项目”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构建以国家实验室引领的央地协同创新体系，集成电路、生物医药等九大专项攻关；2025年新增关键核心技术突破210项。制度含义：外部环境驱动“科技自主”走向长期投入，研发强度6%左右、基础研究占比超15%成为硬约束。后续观察：研究强度与成果转化率，而非项目数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细节2：数字经济占比46.4%，但“高占比”不等于“高实感”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数字经济增加值2.42万亿、+8.7%，占GDP46.4%；数字经济核心产业增加值+10.4%。制度含义：北京已把“数字”从新名词变成基础设施，这是优势，也意味着“数字平台自身增长”接近高位，未来要看“数字对实体、制造与民生的改造深度”。后续观察：关注“人工智能+场景”是否产生产业级价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细节3：“人工智能+”不是口号，而是一个“场景—平台—要素”系统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实施“人工智能+”行动计划，鼓励医疗、教育、先进制造开放AI场景，聚焦医疗场景落地了“.北京”医AI助手、智能诊疗等；建成2个万卡智算集群。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细节4：未来产业名单反映出“技术期权组合”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重点培育人形机器人、商业航天、生物制造、新材料、未来能源等20个未来产业；6G、量子科技、低空经济并行。制度含义：不是在“选赢家”，而是“买一个组合”，只要少数方向突破就可能带来平台级收益。后续观察：看人形机器人、商业航天、生物制造的实际产值与订单，而非概念热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细节5：设备购置投资+66%，“投资含金量”在升级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固定资产投资+5.5%，其中设备购置+66%、占投资32.3%（提高11.7个百分点）。制度含义：投资从“建房子”转向“买设备、更新产能”，是新质生产力的具体化，也是对冲地产下行、拉动先进制造的关键。后续观察：设备更新投资是否延续，是判断“换挡”见效的核心指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细节6：集成电路、新能源汽车两位数增长，但集中度风险要留意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计算机/通信电子制造业+20.2%、汽车制造+17.7%；新能源汽车产量+137.5%、锂离子电池+117.6%、服务机器人+47.6%。制度含义：北京制造高度依赖少数高景气赛道，一旦下游波动，集中度风险会放大。后续观察：制造业有无第二、三增长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细节7：外贸“出口强、进口弱”分化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2025年进出口总额31929.7亿、-11.5%；出口+3.8%（6286.8亿）创历史新高；进口-14.6%（25642.9亿）。制度含义：出口（尤其高新技术与服务贸易）是北京真正的“主动口”；进口下降有转口和大宗商品因素，不必过度解读，但要警惕外部需求。后续观察：出口是否在“一带一路”（占比60.4%）和高技术领域持续稳定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细节8：“外资新设企业+19.5%、实际使用外资-5%”——开放转向“高端”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新设外资企业2405家、+19.5%；实际使用外资68.7亿美元、-5.0%；主要投向科研与技术服务业（占37.7%）、金融、租赁商务，三行业合计占72.7%。制度含义：招商从“规模”转向“以总部、研发、服务业开放增量政策”争夺高附加值功能。后续观察：外资研发中心、高端专业服务、服务业扩大开放3.0落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细节9：“财政紧平衡”与“税收强”并存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一般公共预算收入6680.6亿、+4.8%，税收5775.6亿、+5.5%；支出8401.9亿、+0.1%（同口径+4.8%）。制度含义：北京税收占比高、结构较健康，但财政支出增速低、偏紧，需靠“零基预算+压减一般性支出”与争取中央资金（超长期特别国债）支撑科技与民生。后续观察：科技投入是否持续、民生预算是否被挤占、专项债“自审自发”是否落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细节10：房地产“量价齐弱”，但保障房在“补位”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房地产开发投资-15.5%；新开工、施工、销售面积均下降，房价月度同比为负。但建设筹集保障性租赁住房12.2万套（间）、竣工各类保障房10万套（间）。制度含义：土地财政与“新增开发”加速退出，“保障+市场”双轨成为住房供应新主轴，“好房子”成为产品方向。后续观察：二手房是否率先回稳、保障房与轨道TOD能否深度结合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细节11：人口微降，但“公共服务”更贵了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常住人口2180万、-3.2万；城镇调查失业率4.1%、新增就业33万人。制度含义：总量收缩但结构老化、教育托育医疗养老“单位成本”上升，公共服务要从“做加法”转向“重配”。后续观察：学位、床位、号的精准投放是否优于总量扩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细节12：“大模型全国第一”背后是“数据要素”制度的进军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组建北京数据集团、推动数据资产入表、建立数据要素流通市场；备案大模型209款（全国近1/3）。制度含义：北京把“数据”当作要素高地去经营，数据确权、交易、流通是比“发补贴”更深层的制度竞争。后续观察：数据交易规模、公共数据授权运营的制度进展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细节13：京津冀协同进入“成果转化”阶段——北京输出技术并获益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北京输出到冀津技术合同额996亿、+18.1%；雄安、滨海园区承接产业真热。制度含义：协同从“搬工厂”转向“制度协同+市场互认”，北京输出技术、河北承接配套，北京从中获得研发、中介、数据等总部附加值。后续观察：协同是否带来北京高端服务与研发的增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细节14：“一老一小”民生，本质是结构重排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推出“一张床、一间房、一套房”住房体系；养老床位、家庭养老床、助餐点、托育普惠托位扩容。制度含义：北京同时在给“底层稳定性”（保障、养老、医疗）和“上层创新”（科技、数据、未来产业）配资源，这是它“重排公共资源”的能力。后续观察：保障住房、青年住房、银发经济落地效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细节15：创新药械与国际医药——把“研发”推向“产品+跨国产业”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34款创新药械获批上市；国际医药创新公园引入8家跨国药企；医药健康产业规模首次突破万亿。制度含义：北京在生物医药上不只做“研发”，还向“产品上市+跨国产业”延伸，构成另一条“硬科技-产业化”闭环。后续观察：创新药械获批数量、跨国合作、产值增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细节16：大规模设备更新是“内需与新质生产力”的结合点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设备购置投资+66%；“双新”（设备更新、以旧换新）；半导体/算力/先进制造相关投资高增长。制度含义：北京把“扩大有效需求”与“升级供给能力”捆绑在设备更新上，是稳投资与促转型的结合点。后续观察：设备更新红利能否扩散到更多中小企业与更广市场。</w:t>
      </w:r>
    </w:p>
    <w:p>
      <w:pPr>
        <w:spacing w:after="12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五、把所有细节连起来：北京正在经历的“六个换挡”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把上面16个细节并读，北京正在同时发生“六个换挡”：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换挡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从…</w:t>
            </w:r>
          </w:p>
        </w:tc>
        <w:tc>
          <w:tcPr>
            <w:tcW w:type="dxa" w:w="45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到…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增长引擎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房地产+土地+基建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创新+科技+数据+制造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要素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土地、人口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技术、人才、数据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产业结构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信息产业+总部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人工智能+未来+制造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土地+一般税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税收+中央资金+零基预算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规模招商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制度开放+研发总部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空间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扩张+减量并行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生产（单位效率）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这一串换挡说明：北京在减量约束下，更依赖“单位效率”而非规模扩张来换取增长，这也解释为何报告同时出现“稳增长、稳就业、稳外资、扩消费、扩投资”的种种政策。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六、增长暗线：减量发展下的“生产函数重写”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北京是国内极少数把“减量化”作为总括的城市。人口与建设用地减量，意味着每一分新增都需要由“生产函数重写”而非“占地扩张”带来。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关键结构：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科研（国家实验室、大装置）→ 数据（北京数据集团）→ 中试（平台）→ 先进制造（半导体、太空、医药）→ 服务（金融、研发、专业）。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如果这个结构打通，北京将同时得到“单位产出，财务可持续、城乡公共服务”，是典型的“人均GDP式增长”；如果打不通，会出现“科研强、产业弱”的断链。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七、财政暗线：更强的税基，但更强的支出与依赖中央的资源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税收强：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一般公共预算收入+4.8%、税收+5.5%，结构好。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支出紧：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支出+0.1%，需靠“零基预算+压支”。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依赖中央：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大量超长期特别国债、专项债（自审自发试点、国家资源注入）支撑科技与民生。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判断：北京的问题不在“近期粮票”，而在“长期把科技投入与民生怎么排序、以及能否从国家资源中形成新增”。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八、产业暗线：从“信息产业”到“人工智能+未来产业”的闭环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很多讨论把北京看成“软件和总部”。实际上报告更强调的是完整链条：国家实验室/高校提供知识 → 政府基金/风险投资承担早期资本 → 智算与中试平台覆盖工程化 → 微电子/机器人/医药形成制造规模 → 国际总部与数字服务完成变现。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若成：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北京会同时拥有“全球科研城市（自然指数连续9年第一）”“多类未来产业集群”“可持续税基”，与重“国家队总部”的城市形成分化。</w:t>
      </w:r>
      <w:r>
        <w:rPr>
          <w:rFonts w:ascii="微软雅黑" w:hAnsi="微软雅黑" w:eastAsia="微软雅黑"/>
          <w:b/>
          <w:color w:val="1F2A44"/>
          <w:sz w:val="22"/>
        </w:rPr>
        <w:t>若败：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会落入“科研很强、基金很多、园区很多、营收不大”的断链。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这就是北京与上海、杭州的差异：上海更倚重“五个中心+金融”，杭州更倚重“六小龙+民营”，而北京倚重“单位创新+国家队+要素”。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九、首都功能与城市治理：疏解、副中心与京津冀协同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 疏解非首都功能，历史上是“减法”,2025转向“更聪明的减法”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北京持续疏解一般制造、批发、物流；数据上人口、用地在减。近两年又增加“承接国家功能”（央企、星网、雄安）。所以是“减量+高质量发展的加法”。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 “都-城”关系调整（副中心）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副中心保持千亿级投资，国家公共力量（央企、数据集团）逐渐向副中心与经开区（亦庄）聚集，形成“首都功能核心区—副中心—亦庄/三城一区”的空间重构。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 京津冀协同进“制度协同”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医保、社保证照、信用、技术转移逐步互通，北京输出技术与高端服务，河北/雄安承接制造与配套。北京从中收获“总部附加值+研发与数据变现”。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十、人口与公共服务：控减总量，重排结构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北京人口总量在2020—2024呈微降，2025再减3.2万。人口总量约束下，结构问题（老化、托育、青年住房、医疗、养老）成为公共服务重心。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旧思路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现在的挑战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教育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扩增学位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学位与人口变化、资源再利用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养老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增床位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助餐、认知障碍照护、医养结合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住房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供新增住房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保障+租赁+“一床一间一套”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年轻人口扩张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银发医疗健康、服务消费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医疗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供给总量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基层下沉、老年人可及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民生本质是“公共资源重排”：给“两大部分底层”与“双创”，这是一道平衡题。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十一、数据要素与AI：全国制度高地与政策红利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北京先做“数据确权、交易、流通”的制度建设：成立北京数据集团、推动数据资产入表、备案大模型209款。围绕“人工智能+”开放场景、以“国产模型”为底座。若数据要素全国化，北京拥有极强的“制度+科技+基础设施”绑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后续观察：数据交易规模、公共数据授权运营、大模型实际落地，是关键轨道。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十二、事后验证：以2025实际执行检验2025设定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这里把2025年初目标与2025全年结果并排：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2025实际结果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GDP增长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超额达成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5%以内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优于目标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价格总体平稳（略降/微降）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实际+4.4%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有力投资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总体看，北京2025核心总量目标普遍实现，但“社零下降、进口回落、房价调整”显示需求侧仍偏弱。这个“总量达成、结构分化”正是读懂后续报告的关键基座。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北三都（副中心+三区一区）与“第二曲线”：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副中心、亦庄、三城一业能否真正成“第二增长曲线”，而非单独“承接”。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财政“由紧转稳”，能否为科技和民生提供可持续；依赖中央资金的可持续。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数据要素/AI是一项制度竞争：面向未来，是否有国家的“要素”定价与流通。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五级产业链厚度：集成电路、新能源车、医药、未来产业是否真正形成规模化产值与税源。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减量发展可试点退出之后的安全：在人口、资源、碳排放等约束下，城市服务成本与单位效率控制。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十四、最终结论：北京“超大城市第二曲线”的独特打法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北京没有“攻击性”，但站在“国家科创+数据”高地。它真正的特质是：</w:t>
      </w:r>
      <w:r>
        <w:rPr>
          <w:rFonts w:ascii="微软雅黑" w:hAnsi="微软雅黑" w:eastAsia="微软雅黑"/>
          <w:b/>
          <w:color w:val="1F2A44"/>
          <w:sz w:val="22"/>
        </w:rPr>
        <w:t>不靠“摊大饼”，靠“单位创新、单位服务、单位效率、总部附加值、制度红利”去驱动。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2025年是北京经济结构的一个转换样本：总量依然漂亮，但其内涵已从“房地产+基建+信息”切换到“科技+数据+服务+先进制造”，且这个过程包含了下一轮超越曲线的最公平可能。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对政策的读懂，不再是“看GDP对不对”，而是对“北京在减量约束下‘下棋’、如何持续把最高研发与数据能力转化为收入、就业与民生”的持续跟踪。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《北京市政府工作报告（2026年1月25日，殷勇）》——2026年2月2日发布；官方对2025的复盘。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《北京市政府工作报告（2025年1月14日，殷勇）》——设定2025年目标。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《北京市2025年国民经济和社会发展统计公报》——北京统计局（2026年3月）。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《2025年北京经济运行情况发布会》——北京市统计局、国家统计局北京调查总队。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财政/发改相关年度报告与统计资料；所有数字来自公开渠道，已做交叉核验。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为什么看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数据源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GDP与三次产业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判断结构质量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统计公报/月度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固定资产投资+设备购置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投资含金量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统计局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社零+文旅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需求回暖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市级统计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一般公共预算（收/支）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财政报告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房地开发/销售/保障房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地产与“好房子”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住建/统计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实际使用外资/新设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开放升级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商务/统计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数字经济/大模型/数据交易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新要素与AI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经信/统计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人口与公共服务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结构重排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公安/教育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