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广东省2025年政府工作报告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从“制造业当家、两大万亿集群、外贸外资与珠三角+粤东西北”重新理解广东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研究对象：2025年广东省政府工作报告及同期财政、国民经济和社会发展统计资料、2026年官方复盘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二、先看广东的特殊底盘：制造业第一大省、外贸强省与“万亿城市群”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三、最关键的宏观错位：GDP破14.58万亿、外贸外资强，但投资与物价偏弱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五、把所有细节连起来：广东正在经历的“六个换挡”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六、增长暗线：“制造业当家”与两大万亿集群、新质生产力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七、财政暗线：收入稳、税收负增，民生占比高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八、产业暗线：从“世界工厂”到“智造强省+新质生产力”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九、区域格局：珠三角与粤东西北、大湾区与港澳联动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十、人口与城市：超9300万、全国人口第一大省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十一、民营经济与外贸：民企占六成进出口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十四、最终结论：广东在“高质量发展+高水平开放”里的增长逻辑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广东最显眼的是“GDP突破14.58万亿元、稳居全国第一”、“外贸进出口9.49万亿、占全国20.9%”和“新能源汽车产量超118万辆”。但政府工作报告里真正值得深读的，是这一座“制造业第一大省+外贸强省+人口第一大省”如何在固定资产投资大幅收缩（-17.3%）、房地产深度调整（-23.6%）、税收下降的背景下，靠“制造业当家、新质生产力与新开放”守住基本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把2025年初《政府工作报告》设定的目标、2025年《国民经济和社会发展统计公报》、以及2026年报告对2025年的复盘放在一起看，广东呈现清晰暗线：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从“外贸+基建+地产”的旧依赖，向“制造业当家（新质生产力）+高水平开放+消费内需+民营活力”转型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。旧引擎（房地产、一般基建、部分传统制造）在收缩；新引擎（高端装备、电子、新能源车、高技术制造、高技术外资、消费）被要求更快补位。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因此，本报告不按政府工作报告章节逐段复述，而是采用“显性表述—同期数据—制度含义—长期影响”的方式，专门提取容易被忽视、但对判断广东未来5—10年发展模式更有价值的信号。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广东是全国第一大经济体与外贸第一强省，也是“制造业当家+新质生产力”的最前线——它既要用“14万亿GDP+万亿城市群”挑好“挑起全国经济的梁”，也要在房地产、投资与外部贸易环境下，用高端制造与新开放守住基本盘。</w:t>
      </w:r>
      <w:r>
        <w:rPr>
          <w:rFonts w:ascii="微软雅黑" w:hAnsi="微软雅黑" w:eastAsia="微软雅黑"/>
          <w:b w:val="0"/>
          <w:color w:val="1F2A44"/>
          <w:sz w:val="22"/>
        </w:rPr>
        <w:t>观察广东，与其看“总量”，不如看“制造业的结构质量、外贸的韧性、消费的升级和新质生产力的兑现”。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一页速览：2025年广东经济的“表与里”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145846.76亿、+3.9%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全国第一、制造业+外贸双强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规上工业+3.0%、高技术+6.2%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先进制造占56.2%、高端制造占59.6%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进出口94941.6亿、+4.4%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民企占63.9%、高新技术出口+10.9%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固定资产投资-17.3%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地产-23.6%、第二产业-14.3%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一般公共预算收入+3.0%（税收-4.0%）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税收负增长、收入靠非税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社零46296.74亿、+2.8%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线上零售+15.2%、乡村慢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常住12859万、城镇化率76.58%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全国第一人口大省、回流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CPI-0.2%、PPI-1.5%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量强价弱、内需待提振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5%左右、规上工业增长6%左右、社零增长5%左右、一般公共预算收入增长3%、居民收入与增长同步、CPI涨幅2%左右、城镇新增就业110万人以上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：广东省统计局2026年3月31日发布，给出全年实际执行数与增速，是“事后验证”的锚点。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2026年广东省政府工作报告及官方复盘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初定“GDP增长5%左右”，实际只有3.9%；“规上工业增长6%”，实际只有3.0%；“社零增长5%”，实际只有2.8%。差异清晰反映：2025年广东承受了房地产与投资的深度调整，增长低于预期目标，这正是本文重点关注的“广东挑战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二、先看广东的特殊底盘：制造业第一大省、外贸强省与万亿城市群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在所有省份里，广东的“底盘”最独特：</w:t>
      </w:r>
      <w:r>
        <w:rPr>
          <w:rFonts w:ascii="微软雅黑" w:hAnsi="微软雅黑" w:eastAsia="微软雅黑"/>
          <w:b/>
          <w:color w:val="1F2A44"/>
          <w:sz w:val="22"/>
        </w:rPr>
        <w:t>全国第一经济体量+制造业第一大省+外贸强省+人口第一大省</w:t>
      </w:r>
      <w:r>
        <w:rPr>
          <w:rFonts w:ascii="微软雅黑" w:hAnsi="微软雅黑" w:eastAsia="微软雅黑"/>
          <w:b w:val="0"/>
          <w:color w:val="1F2A44"/>
          <w:sz w:val="22"/>
        </w:rPr>
        <w:t>四合一。珠三角九市构成全国最密集的“万亿城市群”，广州、深圳、佛山、东莞等引领。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这决定了广东的五重身份并存：</w:t>
      </w:r>
      <w:r>
        <w:rPr>
          <w:rFonts w:ascii="微软雅黑" w:hAnsi="微软雅黑" w:eastAsia="微软雅黑"/>
          <w:b/>
          <w:color w:val="1F2A44"/>
          <w:sz w:val="22"/>
        </w:rPr>
        <w:t>制造引擎</w:t>
      </w:r>
      <w:r>
        <w:rPr>
          <w:rFonts w:ascii="微软雅黑" w:hAnsi="微软雅黑" w:eastAsia="微软雅黑"/>
          <w:b w:val="0"/>
          <w:color w:val="1F2A44"/>
          <w:sz w:val="22"/>
        </w:rPr>
        <w:t>（新能源汽车、电子信息、家电、装备）、</w:t>
      </w:r>
      <w:r>
        <w:rPr>
          <w:rFonts w:ascii="微软雅黑" w:hAnsi="微软雅黑" w:eastAsia="微软雅黑"/>
          <w:b/>
          <w:color w:val="1F2A44"/>
          <w:sz w:val="22"/>
        </w:rPr>
        <w:t>外贸引擎</w:t>
      </w:r>
      <w:r>
        <w:rPr>
          <w:rFonts w:ascii="微软雅黑" w:hAnsi="微软雅黑" w:eastAsia="微软雅黑"/>
          <w:b w:val="0"/>
          <w:color w:val="1F2A44"/>
          <w:sz w:val="22"/>
        </w:rPr>
        <w:t>（进出口占全国20.9%）、</w:t>
      </w:r>
      <w:r>
        <w:rPr>
          <w:rFonts w:ascii="微软雅黑" w:hAnsi="微软雅黑" w:eastAsia="微软雅黑"/>
          <w:b/>
          <w:color w:val="1F2A44"/>
          <w:sz w:val="22"/>
        </w:rPr>
        <w:t>开放门户</w:t>
      </w:r>
      <w:r>
        <w:rPr>
          <w:rFonts w:ascii="微软雅黑" w:hAnsi="微软雅黑" w:eastAsia="微软雅黑"/>
          <w:b w:val="0"/>
          <w:color w:val="1F2A44"/>
          <w:sz w:val="22"/>
        </w:rPr>
        <w:t>（粤港澳大湾区、自贸区）、</w:t>
      </w:r>
      <w:r>
        <w:rPr>
          <w:rFonts w:ascii="微软雅黑" w:hAnsi="微软雅黑" w:eastAsia="微软雅黑"/>
          <w:b/>
          <w:color w:val="1F2A44"/>
          <w:sz w:val="22"/>
        </w:rPr>
        <w:t>人口新增城</w:t>
      </w:r>
      <w:r>
        <w:rPr>
          <w:rFonts w:ascii="微软雅黑" w:hAnsi="微软雅黑" w:eastAsia="微软雅黑"/>
          <w:b w:val="0"/>
          <w:color w:val="1F2A44"/>
          <w:sz w:val="22"/>
        </w:rPr>
        <w:t>（常住1.28亿、净增79万）、</w:t>
      </w:r>
      <w:r>
        <w:rPr>
          <w:rFonts w:ascii="微软雅黑" w:hAnsi="微软雅黑" w:eastAsia="微软雅黑"/>
          <w:b/>
          <w:color w:val="1F2A44"/>
          <w:sz w:val="22"/>
        </w:rPr>
        <w:t>改革窗口</w:t>
      </w:r>
      <w:r>
        <w:rPr>
          <w:rFonts w:ascii="微软雅黑" w:hAnsi="微软雅黑" w:eastAsia="微软雅黑"/>
          <w:b w:val="0"/>
          <w:color w:val="1F2A44"/>
          <w:sz w:val="22"/>
        </w:rPr>
        <w:t>（民营经济/外资高地）。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“制造业当家”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广东是全国工业第一大省，先进制造业占规上工业56.2%、装备制造占59.6%。汽车（+10.1%）、电子（+7.1%）是支柱，新能源汽车产量118万辆、+27.7%。制造业是广东最坚实的底盘。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外贸与港澳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进出口94941.6亿元、占全国20.9%。粤港澳大湾区深度联动，深圳、广州、东莞是外贸与制造业重镇，跨境电商与高新技术出口是增量。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人口与消费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常住12859万人、城镇化率76.58%、自然增长率2.26‰（全国少有的正增长大省）。广东既是“制造业腹地”，又是“消费大市场”（社零4.63万亿）。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三、最关键的宏观错位：GDP破14.58万亿、外贸外资强，但投资与物价偏弱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把2025年广东的宏观面放进一张表，会出现令外行惊讶的“错位”：表观增长来自外贸/外资与高端制造，而支撑投资的房地产与传统基建却在收缩。这个错位，正是读懂广东的关键。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145846.76亿、+3.9%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全国第一、制造业+外贸基础厚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占规上34.7%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先进制造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占规上56.2%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高新技产品出口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出海升级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实际使用外资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外资逆势增长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118万辆、+27.7%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新能源跳升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-17.3%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大幅收缩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-23.6%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地产深度调整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+3.0%（低于6%目标）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增速低于预期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税收收入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税收负增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物价走低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工业通缩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广东的增长“很强、但也很矛盾”。强的部分（外贸/外资/高技术/先进制造）与弱的部分（固定资产投资/房地产/税收/物价）并存。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真正的焦点不是“有没有增长”，而是“量的质量与结构的平衡”</w:t>
      </w:r>
      <w:r>
        <w:rPr>
          <w:rFonts w:ascii="微软雅黑" w:hAnsi="微软雅黑" w:eastAsia="微软雅黑"/>
          <w:b w:val="0"/>
          <w:color w:val="1F2A44"/>
          <w:sz w:val="22"/>
        </w:rPr>
        <w:t>：受房地产与投资深度调整拖累，GDP、规上工业、社零都低于年初目标。2026年房地产企稳、制造业与新质生产力、消费内需，是广东的重点。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规上工业+3.0%，但高技术制造+6.2%、占34.7%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先进制造占56.2%、装备制造占59.6%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新能源汽车产量118.29万辆、+27.7%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服务机器人、3D打印设备、光电子器件产量高增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服务器产量+28.2%、工业机器人+31.2%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进出口94941.6亿、占全国20.9%、民企占63.9%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高新技术产品出口20279.3亿、+10.9%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实际使用外资1126.6亿、+11.3%、高技术外资+37%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固定资产投资-17.3%、房地产投资-23.6%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服务业增加值+4.7%、占GDP58.3%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社零、+2.8%、线上零售+15.2%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常住12859万人、+79万、自然增率2.26‰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居民人均可支配收入53669元、+4.3%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CPI-0.2%、PPI-1.5%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R&amp;D占GDP比重全国领先、高企林立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五、把所有细节连起来：广东正在经历的“六个换挡”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1．动能换挡：从“土地/房产驱动”到“智能智造+高技术”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高技术+6.2%、先进制造占56.2%成为新引擎。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2．产业换挡：从“世界工厂”到“智造强省+新质生产力”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装备占59.6%、新能源车+27.7%。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3．投资换挡：从“基建/地产”到“制造业/高技术+新赛道”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地产-23.6%、新能源/机器人/储能量放。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4．开放换挡：从“传统代工”到“高新技术+一带一路”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高技术出口+10.9%、外资+11.3%、一带一路+5%。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5．人口换挡：从“净流入红利”到“结构性集聚”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常住+79万、珠三角集聚、仍正增长。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6．消费换挡：从“线下大盘”到“线上数字化+下沉”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线上零售+15.2%、乡村仍慢。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六、增长暗线：“制造业当家”与两大万亿集群、新质生产力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制造业+新质生产力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东是全国制造业第一大省，高技术制造+6.2%（占34.7%）、先进制造占56.2%。两大万亿级集群（电子信息、汽车/新能源）仍在放量，新能源汽车产量118万辆、+27.7%。制造业是广东最大的“底盘”，也是“新质生产力”最密集的地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高水平开放与外资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实际使用外资+11.3%（高技术外资+37%），高新技术出口+10.9%。广东用“高新技术+一带一路+大湾区”构建了新外贸/外资体系。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：广东不再是“靠地产/低端代工”的旧增长，而是转向“高端制造+高技术外贸+新质生产力”。看广东，盯住“高技术制造占比”与“高新技术出口、外资”这两组数。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七、财政暗线：收入稳、税收负增，民生占比高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2025年广东一般公共预算收入+3.0%，其中税收收入-4.0%，税收拖累明显，收入增长主要靠非税（如国有资本运营、盘活资产）与外资/国资利润。支出18.16万亿、民生占比70.7%，财政在“稳增长—稳民生”之间平衡。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广东财政“收入稳、税收弱”，反映地产下行、工业通缩对税收的拖累。长期要提升实体制造业/高技术税源质量，降低对地产与一次性收入的依赖。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八、产业暗线：从“世界工厂”到“智造强省+新质生产力”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广东产业的“表”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2025增速/占比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放缓但仍强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+6.2%、占34.7%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先进制造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+5.1%、占56.2%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制造业当家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+5.6%、占59.6%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高端装备过半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118万辆、+27.7%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新能源跳升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工业机器人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+31.2%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智能制造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3D打印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+49.6%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新制造赛道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从“代工”到“智造”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广东过去是全球“世界工厂”，2025年显示“高技术+智能制造+新能源”正成为新引擎。工业机器人、3D打印、服务器等高增，说明广东在“制造业当家”下向“智造强省”升级。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九、区域格局：珠三角与粤东西北、大湾区与港澳联动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广东“珠三角+粤东西北”格局：珠三角是有力的经济增长极（+3.9%），承担制造/金融/科创心；粤东、粤西、粤北发展相对滞后（增速2.5%—4.3%），固投下降更大。城乡、区域差距仍是广东的课题。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粤港澳大湾区：珠江口东西两岸协同，深圳（科创/金融）、广州（商贸/制造）、东莞（制造）、佛山（制造）。横琴、前海、南沙三大平台推动制度型开放。港澳联动是广东高水平开放的重要抓手。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十、人口与城市：超9300万、全国人口第一大省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人口总量与结构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2025年末广东常住12859万人、净增79万，自然增长率2.26‰——全国少有的正增长人口大省，主要靠外来人口流入与相对较高生育。珠三角九市高度集聚，城镇化率76.58%。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城市与就业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广东制造业+服务业提供大量就业，城镇新增就业149.44万人。庞大人口既带来“人口红利”，也带来就业、教育、医疗等治理压力。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十一、民营经济与外贸：民企占六成进出口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广东民营经济是全国市场化程度最高的地区之一，民企进出口60675.3亿元、占进出口63.9%、增长4.9%。民营企业是广东外贸与经济的绝对主力。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政策与活力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广东持续优化“两个毫不动摇”与营商环境，支持民间投资与创科。民企/个体工商户/专精特新，是广东未来10年最重要的动力底座。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明显低于目标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明显低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提质提效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-17.3%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深度调整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（1）外贸/外资/高技术相对强、但受地产与投资拖累，GDP增长明显低于5%目标，验证；（2）税收负增（-4.0%）、因地产/工业通缩，验证；（3）流动性（消费弱）+新质生产力强，验证。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核心教训：广东2025年“增长低于目标”主要受房地产（-23.6%）、固投（-17.3%）拖累，说明房地产调整对“万亿大省”的惯性拖累显著。2026年如何稳住房地产、提振投资与消费、稳住制造业景气，是首要课题。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制造业+新质生产力（两万亿集群）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电子信息、汽车/新能源，能否在大调整中保持高技术/高端比重。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房地产与固定资产投资的“出清”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-23.6%、-17.3%，能否在2027前企稳。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外贸/外资与高水平开放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占全国20.9%、民企63.9%是否持续、高新技术外贸能否更大。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消费与内需、共同富裕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社零4.63万亿、线上零售、乡村振兴、长三角/湾区一体化。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人口与长期红利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全国人口第一大省，城镇化、养老、就业的压力与机遇。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十四、最终结论：广东在“高质量发展+高水平开放”里的增长逻辑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广东的2025年，本质上是“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高端制造/高技术+新开放为核心，而对房地产/投资依赖下降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 14.58万亿、高技术占34.7%、外贸占全国20.9%，代价是固投-17.3%、地产-23.6、税收-4.4%，增长承压。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只要“制造业当家、外贸/外资、高技术、消费”能接住，广东就仍是全国第一强省；但若房地产拖累、内需不足、税源下滑持续，广东承受“结构化阵痛”。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一盯制造业与高技术增速（动能）、二盯房地产/固投（出清）、三盯进出口/外资（开放）、四盯消费/内需（内需）、五盯民营/并购（底座）。</w:t>
      </w:r>
      <w:r>
        <w:rPr>
          <w:rFonts w:ascii="微软雅黑" w:hAnsi="微软雅黑" w:eastAsia="微软雅黑"/>
          <w:b w:val="0"/>
          <w:color w:val="1F2A44"/>
          <w:sz w:val="22"/>
        </w:rPr>
        <w:t>广东，是中国经济“定海神针”与“转型前沿”。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广东省2025年《政府工作报告》（2025年1月）——目标来源。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《2025年广东省国民经济和社会发展统计公报》（广东省统计局，2026-03-31）——GDP、工业、外贸、人口等实值。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广东省统计/经济运行、外贸专篇、大湾区专报——区域与外贸。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2026年广东省政府工作报告——2025执行复盘。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广东海关、商务厅、财政厅——外贸与财政实况。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本报告所有增速、总量、占比均以统计公报/官方发布为基准。涉“民营经济占比”“两大万亿集群”等以官方口径为准。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+3.9%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高技术制造占比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34.7%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+4.4%（占20.9%）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实际使用外资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+11.3%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外资信心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-17.3%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投资动能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一般公共预算收入/税收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+3.0%/-4.0%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12859万/76.58%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+2.8%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+4.3%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把这10个指标连起来看，任何一个“新引擎（2/3/4/5）向上、旧引擎（6）出清”，都说明广东在真正换挡；反之则是结构阵痛的持续。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