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广州市2025年政府工作报告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从“南沙自贸区、广深联动、制造业立市与民营经济”重新理解广州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研究对象：2025年广州市政府工作报告及同期财政、国民经济和社会发展统计资料、2026年官方复盘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二、先看广州的特殊底盘：千年商都、湾区核心与省会门户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三、最关键的宏观错位：GDP破3.2万亿、出口强，但工业与房产偏弱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五、把所有细节连起来：广州正在经历的“六个换挡”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六、增长暗线：制造业立市、数字经济与南沙/中新知识城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七、财政暗线：收入稳、税收占比高、民生/城中村改造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八、产业暗线：从“商贸/汽车”到“先进制造+新质生产力”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九、区域格局：广深联动、南沙与都市圈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十、人口与城市：超1900万人、公共服务与城中村改造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十一、民营经济：占43.1%、消费大市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十四、最终结论：广州在“粤港澳大湾区+国家中心城市”里的增长逻辑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广州最显眼的是“GDP突破3.2万亿、增长4.0%”、“出口增长17.8%”、“数字经济核心产业+6.0%”和“社零破1.1万亿”。但这份研究真正值得深读的，是这一座“千年商都+制造业立市”的城市如何在第二产业偏弱（规上工业+1.2%）、房地产投资（-2.8%）与办公楼/商业地产大幅收缩的背景下，靠“出口、消费、数字经济、战略性新兴产业与民营”守住基本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把2025年初设定的目标、2025年《国民经济和社会发展统计公报》、以及2026年报告对2025年的复盘放在一起看，广州呈现清晰暗线：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从“商贸+房地产+传统制造”的旧依赖，向“制造业立市+数字经济+新质生产力+南沙开放”转型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。旧引擎（房地产、传统商贸地产、一般制造）在调整；新引擎（出口、战略性新兴、数字经济、新能源汽车、集成电路）被要求更快补位。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因此，本报告不按政府工作报告逐段复述，而采用“显性表述—同期数据—制度含义—长期影响”的方式，专门提取容易被忽视、但对判断广州未来5—10年发展模式更有价值的信号。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广州是全国性综合门户、商贸中心与国家中心城市，也是“粤港澳大湾区”的四大核心市之一——它以“万亿商业+开放+数字经济”为底色，既要做“制造业立市”，也要在房地产、工业结构调整中，靠出口、新质生产力与城市更新守住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观察广州，与其看“3万亿 GDP”，不如看“制造业/数字经济、出口、战略性新兴产业、城中村改造与民营活力”这几张名片。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一页速览：2025年广州经济的“表与里”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32039.46亿、+4.0%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总量破3.2万亿、三产占比75%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规上工业+1.2%、数字经济+6.0%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战略新兴占GDP32.4%、先进制造占58.2%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出口+17.8%、进出口+10.4%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用出口支撑增长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固定资产投资-6.7%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地产-2.8%、办公楼-37.2%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一般公共预算收入2184.82亿、+3.1%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税收占71.4%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社零11032.38亿、+5.5%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网络零售+13.1%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常住1910.10万、城镇化率87.56%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人口+12.3万、户籍增长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增加值1.38万亿、占43.1%、+5.2%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民营底盘厚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：2025年2月在市十六届人大五次会议上作，给出全年预期目标（GDP增长5%左右、实际工作中力争更好结果等）。固定资产投资/社零/进出口等未设全部具体速率。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：广州市统计局2026年5月10日发布，给出全年实际执行数与增速，是“事后验证”的锚点。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2026年广州市政府工作报告及官方复盘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例如2025年GDP目标5%左右、实际4.0%（低于目标）；出口+17.8%超强、但规上工业+1.2%偏弱。差异清晰反映：广州“出口/消费/数字经济强、工业/地产偏弱”。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二、先看广州的特殊底盘：千年商都、湾区核心与省会门户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在所有一线城市里，广州的“底盘”独特：</w:t>
      </w:r>
      <w:r>
        <w:rPr>
          <w:rFonts w:ascii="微软雅黑" w:hAnsi="微软雅黑" w:eastAsia="微软雅黑"/>
          <w:b/>
          <w:color w:val="1F2A44"/>
          <w:sz w:val="22"/>
        </w:rPr>
        <w:t>全国性商贸中心+千年商都+粤港澳大湾区核心市+省会门户</w:t>
      </w:r>
      <w:r>
        <w:rPr>
          <w:rFonts w:ascii="微软雅黑" w:hAnsi="微软雅黑" w:eastAsia="微软雅黑"/>
          <w:b w:val="0"/>
          <w:color w:val="1F2A44"/>
          <w:sz w:val="22"/>
        </w:rPr>
        <w:t>四合一。常住1910万、城镇化率87.56%，商贸、交通、医疗、科教枢纽地位突出。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这决定广州的多重身份并存：</w:t>
      </w:r>
      <w:r>
        <w:rPr>
          <w:rFonts w:ascii="微软雅黑" w:hAnsi="微软雅黑" w:eastAsia="微软雅黑"/>
          <w:b/>
          <w:color w:val="1F2A44"/>
          <w:sz w:val="22"/>
        </w:rPr>
        <w:t>商贸中心</w:t>
      </w:r>
      <w:r>
        <w:rPr>
          <w:rFonts w:ascii="微软雅黑" w:hAnsi="微软雅黑" w:eastAsia="微软雅黑"/>
          <w:b w:val="0"/>
          <w:color w:val="1F2A44"/>
          <w:sz w:val="22"/>
        </w:rPr>
        <w:t>（社零1.1万亿）、</w:t>
      </w:r>
      <w:r>
        <w:rPr>
          <w:rFonts w:ascii="微软雅黑" w:hAnsi="微软雅黑" w:eastAsia="微软雅黑"/>
          <w:b/>
          <w:color w:val="1F2A44"/>
          <w:sz w:val="22"/>
        </w:rPr>
        <w:t>先进制造/汽车</w:t>
      </w:r>
      <w:r>
        <w:rPr>
          <w:rFonts w:ascii="微软雅黑" w:hAnsi="微软雅黑" w:eastAsia="微软雅黑"/>
          <w:b w:val="0"/>
          <w:color w:val="1F2A44"/>
          <w:sz w:val="22"/>
        </w:rPr>
        <w:t>（广州汽车）、</w:t>
      </w:r>
      <w:r>
        <w:rPr>
          <w:rFonts w:ascii="微软雅黑" w:hAnsi="微软雅黑" w:eastAsia="微软雅黑"/>
          <w:b/>
          <w:color w:val="1F2A44"/>
          <w:sz w:val="22"/>
        </w:rPr>
        <w:t>数字经济</w:t>
      </w:r>
      <w:r>
        <w:rPr>
          <w:rFonts w:ascii="微软雅黑" w:hAnsi="微软雅黑" w:eastAsia="微软雅黑"/>
          <w:b w:val="0"/>
          <w:color w:val="1F2A44"/>
          <w:sz w:val="22"/>
        </w:rPr>
        <w:t>（数字经济核心产业+6.0%）、</w:t>
      </w:r>
      <w:r>
        <w:rPr>
          <w:rFonts w:ascii="微软雅黑" w:hAnsi="微软雅黑" w:eastAsia="微软雅黑"/>
          <w:b/>
          <w:color w:val="1F2A44"/>
          <w:sz w:val="22"/>
        </w:rPr>
        <w:t>开放门户</w:t>
      </w:r>
      <w:r>
        <w:rPr>
          <w:rFonts w:ascii="微软雅黑" w:hAnsi="微软雅黑" w:eastAsia="微软雅黑"/>
          <w:b w:val="0"/>
          <w:color w:val="1F2A44"/>
          <w:sz w:val="22"/>
        </w:rPr>
        <w:t>（南沙自贸区、白云机场、广交会）、</w:t>
      </w:r>
      <w:r>
        <w:rPr>
          <w:rFonts w:ascii="微软雅黑" w:hAnsi="微软雅黑" w:eastAsia="微软雅黑"/>
          <w:b/>
          <w:color w:val="1F2A44"/>
          <w:sz w:val="22"/>
        </w:rPr>
        <w:t>省会服务</w:t>
      </w:r>
      <w:r>
        <w:rPr>
          <w:rFonts w:ascii="微软雅黑" w:hAnsi="微软雅黑" w:eastAsia="微软雅黑"/>
          <w:b w:val="0"/>
          <w:color w:val="1F2A44"/>
          <w:sz w:val="22"/>
        </w:rPr>
        <w:t>（全省金融/医疗/文化/枢纽）。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制造业立市与汽车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广州坚持“制造业立市”，先进制造占规上58.2%、装备占50.5%。新能源汽车产量+21.6%、集成电路+4.8%（模拟芯片+19.1%）、锂电+68.8%、充电桩+47.3%。广州制造在“新能源+高端制造”上升级。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数字经济与战略新兴产业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数字经济核心产业增加值增长6.0%（数字要素驱动+10.3%）；“3+5”战略性新兴产业增加值1.04万亿、占GDP 32.4%（+4.2%）。数字经济+战新是广州新质生产力的两大抓手。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开放门户与南沙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广州是“一带一路”与粤港澳大湾区门户，出口+17.8%、进出口+10.4%、实际使用外资+9.1%。南沙自贸区、中新知识城是制度型开放与科创平台。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三、最关键的宏观错位：GDP破3.2万亿、出口强，但工业与房产偏弱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把2025年广州的宏观面放进一张表，会出现令人惊讶的“错位”：表观增长来自出口/消费/数字经济，而工业与商业地产却在收缩。这个错位，正是读懂广州的关键。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32039.46亿、+4.0%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广州破3.2万亿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出口超强、稳外贸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数字新动能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消费大市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战略性新兴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 32.4%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占43.1%、+5.2%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民营底盘厚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投资收缩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办公楼投资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-37.2%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商业地产大幅收缩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4.0%（低于5%目标）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广州的增长“很强、但也很矛盾”。强的部分（出口/消费/数字经济/战新/民营）与弱的部分（工业/固定资产/商业地产）并存。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真正的焦点是“工业与地产承压，靠出口/消费/数字经济补位”</w:t>
      </w:r>
      <w:r>
        <w:rPr>
          <w:rFonts w:ascii="微软雅黑" w:hAnsi="微软雅黑" w:eastAsia="微软雅黑"/>
          <w:b w:val="0"/>
          <w:color w:val="1F2A44"/>
          <w:sz w:val="22"/>
        </w:rPr>
        <w:t>。2026年广州“制造业立市+稳住工业+城市更新/城中村改造+扩大内需”是重点。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规上工业+1.2%、但先进制造占58.2%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新能源汽车产量+21.6%、锂电+68.8%、充电桩+47.3%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集成电路产量+4.8%、模拟芯片+19.1%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数字经济核心产业+6.0%、数字产品服务+15.0%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“3+5”战略性新兴产业占GDP 32.4%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出口+17.8%、进出口+10.4%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社会消费品零售11032.38亿、+5.5%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网络零售+13.1%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固定资产投资-6.7%、房地产-2.8%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民营经济增加值1.38万亿、占43.1%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常住1910.10万、+12.3万、城镇化率87.56%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一般公共预算收入2184.82亿、+3.1%、税收占71.4%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实际使用外资+9.1%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居民人均可支配收入80591元、+3.6%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CPI+0.2%、PPI-2.2%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五、把所有细节连起来：广州正在经历的“六个换挡”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1．动能换挡：从“地产/商贸驱动”到“数字经济+出口+新质生产力”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数字经济+6.0%、战新占32.4%、出口+17.8%。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2．产业换挡：从“传统制造/商贸”到“制造业立市+新能源/高端制造”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新能源车+21.6%、先进制造占58.2%。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3．投资换挡：从“基建/办公楼地产”到“工业/城市更新”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办公楼-37.2%、工业技改+3.0%。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4．开放换挡：从“传统商贸”到“陆海/南沙开放+高新技术贸易”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出口+17.8%、实际外资+9.1%。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5．人口换挡：从“大规模流入”到“高质量集聚+存量”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常住+12.3万、城镇化87.56%。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6．动能换挡：从“总量扩张”到“高质量发展+新质生产力”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战新占GDP32.4%、数字经济加速。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六、增长暗线：制造业立市、数字经济与南沙/中新知识城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制造业立市+新质生产力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广州坚持“制造业立市”，先进制造占58.2%、装备占50.5%、新能源汽车+21.6%、锂电+68.8%。数字经济和“3+5”战略性新兴产业（占GDP32.4%）是广州未来动能的引擎。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南沙与中新知识城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南沙自贸区、中新知识城等平台承载制度型开放与科创。广州以开放门户（出口+17.8%）+数字/科创双轮，构建“龙头城市”发展模式。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：广州的增长已从“商贸+地产”转向“数字经济+战新+开放+制造业立市”。看广州，盯住“战新占GDP比重、数字经济、出口、城中村改造”这几组数。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七、财政暗线：收入稳、税收占比高、民生/城中村改造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2025年广州一般公共预算收入2184.82亿、+3.1%，税收占71.4%（+1.5%），收入质量高、主要来自商贸/制造/服务税源。支出向民生、城市更新（城中村改造）、科创倾斜。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广州财政“税收占比高、收入稳健”，关键是摆脱对地产依赖，靠“数字经济+商贸+制造+城市更新”产生稳健税源。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八、产业暗线：从“商贸/汽车”到“先进制造+新质生产力”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广州产业的“表”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+1.2%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工业偏弱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先进制造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占58.2%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制造业立市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占50.5%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+21.6%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数字动能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战略性新兴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占GDP32.4%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+17.8%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从“商贸/汽车/地产”到“制造+数字+战新”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广州历史上以商贸、汽车、地产见长，2025年显示“数字经济+战新+新能源+先进制造”正成为新主导。广交会、商贸撑起基本盘，而新质生产力是未来弹性。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九、区域格局：广深联动、南沙与都市圈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广州是粤港澳大湾区四大核心市（广深港澳）之一，与深圳“双城”联动，共同承接制造、科创、开放。广州都市圈（广佛等）带动广东西北/粤北。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南沙自贸区、中新知识城、白云机场、广交会，构成广州制度型开放与枢纽。广深联动+湾区一体化，是广州重要增长点。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十、人口与城市：超1900万人、公共服务与城中村改造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2025年末广州常住1910.10万、城镇化率87.56%、净增12.3万；户籍人口1091.14万、户籍自然增长率4.83‰。广州仍是全国人口/人才流入高地。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城市更新与城中村改造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广州推进城中村改造与城市更新，盘活存量土地与商业地产。城市更新既是民生工程（老旧小区/城中村），也是广州“去地产化”后新的投资与空间来源。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十一、民营经济：占43.1%、消费大市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2025年广州民营经济增加值13798.05亿、占GDP 43.1%、+5.2%。民营企业是广州消费、商贸、制造与创新的主力。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政策与服务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广州持续优化营商环境、稳外资稳外贸、支持民营。民营+专精特新是广州未来10年的底盘。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+1.2%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力争5%+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稳量提质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+10.4%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-6.7%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偏低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（1）出口/消费/数字经济强（+17.8%/+5.5%/+6.0%），验证；（2）工业/地产偏弱（规上+1.2%/办公楼-37.2%），验证；（3）民营/战新/南沙强，验证。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核心观察：广州在“工业与地产偏弱、GDP低于5%目标”下，靠“出口+消费+数字经济+战新+民营”守住3.2万亿。2026年“制造业立市+稳住工业/地产+城市更新/城中村改造+扩内需”是重点。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制造业立市与先进制造/新质生产力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先进占58%、战新占32%，能否把工业做大、稳住。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数字经济与科创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数字经济+6%，能否持续放量与产业化。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出口/开放/南沙/广深联动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出口+17.8%能否持续、南沙/中新知识城可否兑现。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房地产/城市更新/城中村改造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地产偏弱，能否用城市更新盘活空间与投资。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民营与消费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民营43%、社零1.1万亿，能否在消费升级中扩大。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十四、最终结论：广州在“粤港澳大湾区+国家中心城市”里的增长逻辑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广州的2025年，本质上是“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出口+消费+数字经济+战新为核心，而对地产/工业依赖下降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 3.2万亿、出口+17.8%、数字经济+6.0%，代价是规上工业+1.2%、地产/投资收缩、GDP低于目标。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只要“制造业立市、数字经济、出口、民营、城市更新”能接住，广州就仍是粤港澳国家中心；如果工业、地产持续偏弱，广州需承受“转型阵痛”。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一盯先进制造/战新/数字经济（动能）、二盯出口/开放（外贸）、三盯工业/地产/城市更新（结构）、四盯民营/消费（底座）、五盯财政/民生（财政民生）。</w:t>
      </w:r>
      <w:r>
        <w:rPr>
          <w:rFonts w:ascii="微软雅黑" w:hAnsi="微软雅黑" w:eastAsia="微软雅黑"/>
          <w:b w:val="0"/>
          <w:color w:val="1F2A44"/>
          <w:sz w:val="22"/>
        </w:rPr>
        <w:t>广州，是粤港澳大湾区的“南大门”与商都样本。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广州市2025年《政府工作报告》（2025年2月）——目标来源。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《2025年广州市国民经济和社会发展统计公报》（广州市统计局，2026-05-10）——GDP、工业、外贸、人口实值。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广州市统计/运行分析、大湾区专报、数字经济专篇——区域与数字。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2026年广州市政府工作报告——2025执行复盘。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广州海关、市商务部（南沙），市财政局——外贸/财政。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本报告所有增速、总量、占比均以统计公报/官方发布为基准。涉“南沙自贸区专项”“中新知识城”等以官方口径为准。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制造业立市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数字经济核心产业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战略性新兴占GDP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消费大市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1910.10万/87.56%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43.1%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民营活力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把这10个指标连起来看，任何一个“新引擎（3/4/5）向上、旧引擎（6）修复”，都说明广州在真正换挡；反之则是旧路径的反复。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