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成都市2025年政府工作报告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从“雪山下的公园城市、成渝双城、电子信息与人口虹吸”重新理解成都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研究对象：2025年成都市政府工作报告及同期财政、国民经济和社会发展统计资料、2026年官方复盘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二、先看成都的特殊底盘：西部极核、公园城市与人口虹吸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三、最关键的宏观错位：GDP破2.48万亿、工业稳，但地产/外贸与物价偏弱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五、把所有细节连起来：成都正在经历的“六个换挡”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六、增长暗线：电子信息+新能源+民生的“新质生产力”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七、财政暗线：收入稳、税收稳，民生支出大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八、产业暗线：从“电子信息/白酒”到“先进制造+新质生产力”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九、区域格局：成渝双城经济圈与成都都市圈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十、人口与城市：人口虹吸、公园城市与老龄化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十一、民营经济：占50.6%、消费强市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十四、最终结论：成都在“成渝双城+西部极核”里的增长逻辑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成都最显眼的是“GDP突破2.48万亿、增长5.8%”、“常住人口2153万、净增6.1万”和“五大先进制造业+8.1%”。但这份政府工作报告调研真正值得深读的，是这一座“雪山下的公园城市”如何既做“成渝双城经济圈的极核”，又靠“电子信息+新能源车+消费+人口虹吸”撑起西部第一大中心城市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把2025年初设定的目标、2025年《国民经济和社会发展统计公报》、以及2026年报告对2025年的复盘放在一起看，成都呈现清晰暗线：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从“人口+地产+基建”的旧依赖，向“新质生产力+消费+西南开放枢纽+人口虹吸”转型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。旧引擎（地产、一般基建）在调整；新引擎（电子信息、装备、新能源、软件服务、消费、科技创新）被要求更快补位。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因此，本报告不按政府工作报告逐段复述，而采用“显性表述—同期数据—制度含义—长期影响”的方式，专门提取容易被忽视、但对判断成都未来5—10年发展模式更有价值的信号。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成都是“西部极核+公园城市”双标签的城市，持续吸引西部人口与人才，也在电子信息、新质生产力、消费与西南开放上做文章。</w:t>
      </w:r>
      <w:r>
        <w:rPr>
          <w:rFonts w:ascii="微软雅黑" w:hAnsi="微软雅黑" w:eastAsia="微软雅黑"/>
          <w:b w:val="0"/>
          <w:color w:val="1F2A44"/>
          <w:sz w:val="22"/>
        </w:rPr>
        <w:t>观察成都，与其看“GDP 2.48亿”，不如看“人口净流入、高技术制造、消费、装配与新质生产力兑现”。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一页速览：2025年成都经济的“表与里”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24763.6亿、+5.8%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西部中心城市、服务业引领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规上工业+7.0%、高技术+8.9%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装备+16.1%、电子信息+9.8%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社零11434.1亿、+5.5%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新能源汽车零售+45.8%、通讯+70.6%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进出口8502.3亿、+1.4%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高新技术出口+11.0%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固定资产投资+2.2%、工业+19.7%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工业/高技术制造投资强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一般公共预算收入2000.7亿、+2.6%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财政稳健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常住2153.5万、城镇化率81.46%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人口+6.1万、西部虹吸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CPI+0.1%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物价平稳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：2025年2月在市十八届人大三次会议上作，给出全年预期目标（GDP增长5.7%以上、一产3%以上等）。部分指标以方向性要求投入。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：成都市统计局2026年4月15日发布，给出全年实际执行数与增速，是“事后验证”的锚点。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2026年成都市政府工作报告及官方复盘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例如2025年GDP目标5.7%以上，实际+5.8%略超；固定资产投资、进出口是西部城市里相对弱的环节。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二、先看成都的特殊底盘：西部极核、公园城市与人口虹吸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在所有全国主要城市里，成都的“底盘”独特：</w:t>
      </w:r>
      <w:r>
        <w:rPr>
          <w:rFonts w:ascii="微软雅黑" w:hAnsi="微软雅黑" w:eastAsia="微软雅黑"/>
          <w:b/>
          <w:color w:val="1F2A44"/>
          <w:sz w:val="22"/>
        </w:rPr>
        <w:t>西部极核+公园城市+人口虹吸高地</w:t>
      </w:r>
      <w:r>
        <w:rPr>
          <w:rFonts w:ascii="微软雅黑" w:hAnsi="微软雅黑" w:eastAsia="微软雅黑"/>
          <w:b w:val="0"/>
          <w:color w:val="1F2A44"/>
          <w:sz w:val="22"/>
        </w:rPr>
        <w:t>三合一。常住2153.5万、城镇化率81.46%，是全国人口最多的超大城市之一，也是“雪山下的公园城市”与“天府之国”的文旅与宜居名片。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这决定成都的多重身份并存：</w:t>
      </w:r>
      <w:r>
        <w:rPr>
          <w:rFonts w:ascii="微软雅黑" w:hAnsi="微软雅黑" w:eastAsia="微软雅黑"/>
          <w:b/>
          <w:color w:val="1F2A44"/>
          <w:sz w:val="22"/>
        </w:rPr>
        <w:t>西部极核</w:t>
      </w:r>
      <w:r>
        <w:rPr>
          <w:rFonts w:ascii="微软雅黑" w:hAnsi="微软雅黑" w:eastAsia="微软雅黑"/>
          <w:b w:val="0"/>
          <w:color w:val="1F2A44"/>
          <w:sz w:val="22"/>
        </w:rPr>
        <w:t>（成渝双城经济圈、国家中心城市）、</w:t>
      </w:r>
      <w:r>
        <w:rPr>
          <w:rFonts w:ascii="微软雅黑" w:hAnsi="微软雅黑" w:eastAsia="微软雅黑"/>
          <w:b/>
          <w:color w:val="1F2A44"/>
          <w:sz w:val="22"/>
        </w:rPr>
        <w:t>制造与电子基地</w:t>
      </w:r>
      <w:r>
        <w:rPr>
          <w:rFonts w:ascii="微软雅黑" w:hAnsi="微软雅黑" w:eastAsia="微软雅黑"/>
          <w:b w:val="0"/>
          <w:color w:val="1F2A44"/>
          <w:sz w:val="22"/>
        </w:rPr>
        <w:t>（电子信息、装备、新能源）、</w:t>
      </w:r>
      <w:r>
        <w:rPr>
          <w:rFonts w:ascii="微软雅黑" w:hAnsi="微软雅黑" w:eastAsia="微软雅黑"/>
          <w:b/>
          <w:color w:val="1F2A44"/>
          <w:sz w:val="22"/>
        </w:rPr>
        <w:t>消费强市</w:t>
      </w:r>
      <w:r>
        <w:rPr>
          <w:rFonts w:ascii="微软雅黑" w:hAnsi="微软雅黑" w:eastAsia="微软雅黑"/>
          <w:b w:val="0"/>
          <w:color w:val="1F2A44"/>
          <w:sz w:val="22"/>
        </w:rPr>
        <w:t>（社零1.14万亿）、</w:t>
      </w:r>
      <w:r>
        <w:rPr>
          <w:rFonts w:ascii="微软雅黑" w:hAnsi="微软雅黑" w:eastAsia="微软雅黑"/>
          <w:b/>
          <w:color w:val="1F2A44"/>
          <w:sz w:val="22"/>
        </w:rPr>
        <w:t>科技文创</w:t>
      </w:r>
      <w:r>
        <w:rPr>
          <w:rFonts w:ascii="微软雅黑" w:hAnsi="微软雅黑" w:eastAsia="微软雅黑"/>
          <w:b w:val="0"/>
          <w:color w:val="1F2A44"/>
          <w:sz w:val="22"/>
        </w:rPr>
        <w:t>（高校66所、高新技术企业破1.5万家）、</w:t>
      </w:r>
      <w:r>
        <w:rPr>
          <w:rFonts w:ascii="微软雅黑" w:hAnsi="微软雅黑" w:eastAsia="微软雅黑"/>
          <w:b/>
          <w:color w:val="1F2A44"/>
          <w:sz w:val="22"/>
        </w:rPr>
        <w:t>西南门户</w:t>
      </w:r>
      <w:r>
        <w:rPr>
          <w:rFonts w:ascii="微软雅黑" w:hAnsi="微软雅黑" w:eastAsia="微软雅黑"/>
          <w:b w:val="0"/>
          <w:color w:val="1F2A44"/>
          <w:sz w:val="22"/>
        </w:rPr>
        <w:t>（双机场、中欧班列枢纽）。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电子信息与制造业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成都以电子信息（京东方、成都集成电路）见长，2025年电子信息产业+9.8%、装备+16.1%、汽车制造+17.8%、工业机器人、服务器等新赛道放量。制造业转型升级是成都的重心。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人口虹吸与公园城市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成都持续吸引西部人口/人才，常住人口净增（+6.1万），城镇化81.5%。同时推进“雪山下的公园城市”，生态/文旅/宜居成为聚人聚产的名片。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成渝双城与门户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成都领衔成渝地区双城经济圈，航空（天府/双流）、中欧班列（成都）连接“一带一路”。是西部大开发与西南开放的重要门户。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三、最关键的宏观错位：GDP破2.48万亿、工业稳，但地产/外贸与物价偏弱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把2025年成都的宏观面放进一张表，会出现令人惊讶的“错位”：表观增长来自工业/消费/服务，而外贸、地产与价格偏弱。这个错位，正是读懂成都的关键。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24763.6亿、+5.8%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西部中心城市、服务业+6.1%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汽车+17.8%、装备+16.1%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消费强市、新能源车+45.8%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+19.7%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工业/制造投资强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占50.6%、+6.2%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民营底盘厚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+1.4%（增速低）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外贸/电子外需波动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+0.9%（销售-4.4%）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地产开工/销售偏弱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房地产增加值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地产拖累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收入低增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+6.1万（少于往年）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人口吸纳放缓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成都的增长“很强、但也很矛盾”。强的部分（工业/消费/服务业/民营）与弱的部分（地产/外贸/物价/人口增速放缓）并存。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真正的焦点是“经济增长靠消费/服务业，但外贸地产承压”</w:t>
      </w:r>
      <w:r>
        <w:rPr>
          <w:rFonts w:ascii="微软雅黑" w:hAnsi="微软雅黑" w:eastAsia="微软雅黑"/>
          <w:b w:val="0"/>
          <w:color w:val="1F2A44"/>
          <w:sz w:val="22"/>
        </w:rPr>
        <w:t>。2026年成都重点在“新质生产力+成渝协同+扩大内需+稳住外贸”。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规上工业+7.0%，其中汽车制造+17.8%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五大先进制造业+8.1%，装备制造+16.1%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电子信息产业+9.8%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高技术制造+8.9%、高技术制造投资+23.4%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新能源汽车零售额+45.8%、通讯器材+70.6%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社会消费品零售11434.1亿、+5.5%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进出口8502.3亿、+1.4%，高新技术出口+11.0%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固定资产投资+2.2%、工业投资+19.7%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常住2153.5万、城镇化率81.46%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民营经济占50.6%、+6.2%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在蓉高校66所、在校131.6万人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高新技术企业突破1.5万家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轨道交通运营里程739.5公里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一般公共预算收入+2.6%、税收+2.6%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CPI+0.1%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五、把所有细节连起来：成都正在经历的“六个换挡”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1．动能换挡：从“人口/地产驱动”到“新质生产力+消费”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高技术制造+8.9%、工业投资+19.7%、社零+5.5%。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2．产业换挡：从“电子信息/白酒”到“先进制造+新质生产力”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装备+16.1%、汽车+17.8%、电子信息+9.8%。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3．投资换挡：从“基建/地产”到“工业/高技术制造投资”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工业投资+19.7%、高技术制造投资+23.4%、地产偏弱。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4．开放换挡：从“传统电子外贸”到“高新技术+西南门户”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高新出口+11.0%、中欧/航空枢纽。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5．人口换挡：从“大规模流入”到“高质量集聚+存量”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常住+6.1万、城镇化81.5%。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6．社会换挡：从“追求规模”到“公园城市+民生/消费”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文旅、宜居、消费与生态协同。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六、增长暗线：电子信息+新能源+消费的“新质生产力”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电子信息与新能源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成都是西部电子信息/半导体高地和新能源车消费重镇。电子信息+9.8%、汽车+17.8%、新能源车零售+45.8%、工业机器人/服务器放量，说明“新质生产力”正从制造与消费两端兑现。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消费强市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社零1.14万亿、+5.5%，新能源汽车、通讯、化妆品、金银珠宝等升级类消费高增。成都是“公园城市+消费强市”双标签，人口与消费相互强化。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：成都的增长叙事正从“人口+地产”转向“新质生产力+消费+西南门户”。看成都，盯住“高技术制造、新能源车、消费、人口净流入”这几组数。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七、财政暗线：收入稳、税收稳，民生支出大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2025年成都一般公共预算收入2000.7亿元、+2.6%，税收1408.9亿元、+2.6%。收入与税收同步稳增、质量尚可，来自制造/消费/服务税源。支出2680亿、民生投入大。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成都财政“收入稳、税收稳”，但要摆脱对地产/一次性收入依赖，靠“新质生产力+消费+城市价值”产生真实税源。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八、产业暗线：从“电子信息/白酒”到“先进制造+新质生产力”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成都产业的“表”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制造强市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+17.8%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汽车/新能源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+16.1%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电子信息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+9.8%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电子高地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+8.9%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新能源车零售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+45.8%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消费升级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消费强市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从“电子/消费”到“制造+新质”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成都过去以电子信息、白酒、文旅见长，2025年显示“先进制造（装备、汽车、半导体）+新质生产力”正加速成为新增长。科技创新、高企1.5万家、轨道交通是大盘。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九、区域格局：成渝双城经济圈与成都都市圈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成都领衔“成渝地区双城经济圈”，与重庆联动承接西部内陆开放、先进制造、文旅、人才。成都都市圈（成德眉资）带动四川经济高质量发展。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天府新区、成都高新区等创新平台，加上机场群/中欧班列，构建西部枢纽。成都—重庆“双核”并进，是西部开发与双循环的重要支点。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十、人口与城市：人口虹吸、公园城市与潜在老龄化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2025年末成都常住2153.5万、城镇化率81.46%，净增6.1万。成都持续吸引西部人口/人才，是西部最大超大城市；户籍人口1637.3万（+13.8万，回流）。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城市与高质量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成都推进“雪山下的公园城市”，生态、文旅、消费、地铁（739.5公里）等支撑城市的人居吸引力。高素质户籍+人才回流，是“高质量人口”的路子。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十一、民营经济：占50.6%、市场活跃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民企地位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成都民营经济增加值12528.9亿元、占GDP 50.6%、+6.2%。民营是成都最活跃的“引擎”，尤其在消费、软件、创新上。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政策与服务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成都持续优化营商环境、支持创业创新。民营+专精特新，是成都未来10年高质量与消费的关键。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5.7%以上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+5.8%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+3.3%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未设具体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+1.4%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+2.2%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（1）工业/制造/高技术强（规上+7.0%、装备+16.1%），验证；（2）消费强市（社零+5.5%、新能源车+45.8%），验证；（3）地产/外贸/人口放缓偏弱，验证。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核心观察：成都靠“新质生产力+消费+人口+民营”守住5.8%增长、西部第一。地产、进出口、人口吸纳放缓是2026年的重点变量。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电子信息/装备制造（新质生产力）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能否从制造/代工升级为“智造+科创”。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“成渝双城”协同与西部门户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双极联动能否把成都/重庆做强、西南开放。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消费与公园城市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社零、新能源车/消费升级能否持续，文旅生态能否变现。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人口虹吸与公共服务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人口净流入、高质量人才、市场化能不能维持。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民营/科创新动能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高企1.5万家、民营50.6%，能否孵化更多独角兽。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十四、最终结论：成都在“成渝双城+西部极核”里的增长逻辑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成都的2025年，是“</w:t>
      </w:r>
      <w:r>
        <w:rPr>
          <w:rFonts w:ascii="微软雅黑" w:hAnsi="微软雅黑" w:eastAsia="微软雅黑"/>
          <w:b/>
          <w:color w:val="1F2A44"/>
          <w:sz w:val="22"/>
        </w:rPr>
        <w:t>新质生产力+消费+西南门户”为核心，而对地产/外贸/人口依赖略降</w:t>
      </w:r>
      <w:r>
        <w:rPr>
          <w:rFonts w:ascii="微软雅黑" w:hAnsi="微软雅黑" w:eastAsia="微软雅黑"/>
          <w:b w:val="0"/>
          <w:color w:val="1F2A44"/>
          <w:sz w:val="22"/>
        </w:rPr>
        <w:t>的答卷：GDP 2.48万亿、西部第一、高技术/消费表现好，地产/进出口/人口增速放缓。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只要电子信息、装备、新能源车、消费/民营/人口能接住，成都就仍是西部极核城市；如果地产、外贸、人口偏弱，成都同样面临结构调整。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一盯高技术/装备（动能）、二盯消费/新能源（内需）、三盯人口/民营（底座）、四盯外贸/地产（约束）、五盯成渝协同（区域）。</w:t>
      </w:r>
      <w:r>
        <w:rPr>
          <w:rFonts w:ascii="微软雅黑" w:hAnsi="微软雅黑" w:eastAsia="微软雅黑"/>
          <w:b w:val="0"/>
          <w:color w:val="1F2A44"/>
          <w:sz w:val="22"/>
        </w:rPr>
        <w:t>成都，是西部“公园城市+极核增长”的新样版。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成都市2025年《政府工作报告》（2025年2月）——目标来源。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《2025年成都市国民经济和社会发展统计公报》（成都市统计局，2026-04-15）——GDP、工业、人口实值。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成都市统计/运行分析、成渝专报——区域与消费。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2026年成都市政府工作报告——2025执行复盘。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成都海关、市商务部、市财政局——贸易与财政实况。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本报告所有增速、总量、占比均以统计公报/官方发布为基准。涉“电子信息产业增加值”等以官方口径为准。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建议把下面10个“测脉搏”指标做成年度仪表盘：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消费强市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固定资产投资/工业投资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+2.2%/+19.7%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2153.5万/81.46%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人口虹吸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50.6%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民营活力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把这10个指标连起来看，任何一个“新引擎（2/3/4）向上、旧引擎（5/6）修复”，都说明成都真正在换挡。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