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Noto Sans CJK SC" w:hAnsi="Noto Sans CJK SC" w:eastAsia="Noto Sans CJK SC"/>
          <w:b/>
          <w:color w:val="17365D"/>
          <w:sz w:val="52"/>
        </w:rPr>
        <w:t>杭州市2025年政府工作报告</w:t>
      </w:r>
    </w:p>
    <w:p>
      <w:pPr>
        <w:jc w:val="center"/>
      </w:pPr>
      <w:r>
        <w:rPr>
          <w:rFonts w:ascii="Noto Sans CJK SC" w:hAnsi="Noto Sans CJK SC" w:eastAsia="Noto Sans CJK SC"/>
          <w:b/>
          <w:color w:val="275DAD"/>
          <w:sz w:val="40"/>
        </w:rPr>
        <w:t>深度研究与容易被忽视的结构性细节</w:t>
      </w:r>
    </w:p>
    <w:p>
      <w:pPr>
        <w:spacing w:before="280"/>
        <w:jc w:val="center"/>
      </w:pPr>
      <w:r>
        <w:rPr>
          <w:rFonts w:ascii="Noto Sans CJK SC" w:hAnsi="Noto Sans CJK SC" w:eastAsia="Noto Sans CJK SC"/>
          <w:color w:val="555F6C"/>
          <w:sz w:val="23"/>
        </w:rPr>
        <w:t>从“AI之城”叙事，看到增长发动机换挡、财政结构变化与资源再配置</w:t>
      </w:r>
    </w:p>
    <w:p>
      <w:pPr>
        <w:spacing w:before="560"/>
        <w:jc w:val="center"/>
      </w:pPr>
      <w:r>
        <w:rPr>
          <w:rFonts w:ascii="Noto Sans CJK SC" w:hAnsi="Noto Sans CJK SC" w:eastAsia="Noto Sans CJK SC"/>
          <w:color w:val="69717D"/>
          <w:sz w:val="20"/>
        </w:rPr>
        <w:t>研究版本：2026年8月</w:t>
      </w:r>
    </w:p>
    <w:p>
      <w:pPr>
        <w:jc w:val="center"/>
      </w:pPr>
      <w:r>
        <w:rPr>
          <w:rFonts w:ascii="Noto Sans CJK SC" w:hAnsi="Noto Sans CJK SC" w:eastAsia="Noto Sans CJK SC"/>
          <w:color w:val="69717D"/>
          <w:sz w:val="19"/>
        </w:rPr>
        <w:t>主要依据：杭州市政府工作报告、财政预算报告、统计资料及后续年度复盘</w:t>
      </w:r>
    </w:p>
    <w:p>
      <w:pPr>
        <w:spacing w:before="900"/>
      </w:pPr>
    </w:p>
    <w:tbl>
      <w:tblPr>
        <w:tblW w:type="auto" w:w="0"/>
        <w:jc w:val="center"/>
        <w:tblLayout w:type="fixed"/>
        <w:tblLook w:firstColumn="1" w:firstRow="1" w:lastColumn="0" w:lastRow="0" w:noHBand="0" w:noVBand="1" w:val="04A0"/>
      </w:tblPr>
      <w:tblGrid>
        <w:gridCol w:w="8674"/>
      </w:tblGrid>
      <w:tr>
        <w:trPr>
          <w:tblHeader w:val="true"/>
          <w:cantSplit/>
        </w:trPr>
        <w:tc>
          <w:tcPr>
            <w:tcW w:type="dxa" w:w="9632"/>
            <w:shd w:fill="F2F6FC"/>
            <w:tcMar>
              <w:top w:w="220" w:type="dxa"/>
              <w:start w:w="260" w:type="dxa"/>
              <w:bottom w:w="220" w:type="dxa"/>
              <w:end w:w="260" w:type="dxa"/>
            </w:tcMar>
          </w:tcPr>
          <w:p>
            <w:pPr>
              <w:jc w:val="center"/>
            </w:pPr>
            <w:r>
              <w:rPr>
                <w:rFonts w:ascii="Noto Sans CJK SC" w:hAnsi="Noto Sans CJK SC" w:eastAsia="Noto Sans CJK SC"/>
                <w:b/>
                <w:color w:val="275DAD"/>
                <w:sz w:val="22"/>
              </w:rPr>
              <w:t>核心判断</w:t>
            </w:r>
          </w:p>
          <w:p>
            <w:pPr>
              <w:spacing w:line="348" w:lineRule="auto"/>
              <w:jc w:val="center"/>
            </w:pPr>
            <w:r>
              <w:rPr>
                <w:rFonts w:ascii="Noto Serif CJK SC" w:hAnsi="Noto Serif CJK SC" w:eastAsia="Noto Serif CJK SC"/>
                <w:b/>
                <w:color w:val="17365D"/>
                <w:sz w:val="24"/>
              </w:rPr>
              <w:t>2025年的杭州，表面上是在追逐人工智能和“六小龙”，更深层是在面对房地产与土地财政退潮、传统投资不足、外资下降与消费偏弱后，主动把增长模式向“硬科技＋先进制造＋生产性服务业＋产业资本＋全球数字贸易”切换。</w:t>
            </w:r>
          </w:p>
        </w:tc>
      </w:tr>
    </w:tbl>
    <w:p>
      <w:pPr>
        <w:spacing w:before="1100"/>
        <w:jc w:val="center"/>
      </w:pPr>
      <w:r>
        <w:rPr>
          <w:rFonts w:ascii="Noto Sans CJK SC" w:hAnsi="Noto Sans CJK SC" w:eastAsia="Noto Sans CJK SC"/>
          <w:color w:val="82878E"/>
          <w:sz w:val="18"/>
        </w:rPr>
        <w:t>分析性研究｜非官方解读</w:t>
      </w:r>
    </w:p>
    <w:p>
      <w:r>
        <w:br w:type="page"/>
      </w:r>
    </w:p>
    <w:p>
      <w:bookmarkStart w:id="23" w:name="toc"/>
      <w:pPr>
        <w:pStyle w:val="Heading1"/>
      </w:pPr>
      <w:r>
        <w:t>目录</w:t>
      </w:r>
      <w:bookmarkEnd w:id="23"/>
    </w:p>
    <w:p>
      <w:pPr>
        <w:spacing w:after="40"/>
        <w:ind w:left="170"/>
      </w:pPr>
      <w:hyperlink w:anchor="exec" w:history="1">
        <w:r>
          <w:rPr>
            <w:color w:val="275DAD"/>
            <w:u w:val="single"/>
            <w:rFonts w:ascii="Noto Sans CJK SC" w:hAnsi="Noto Sans CJK SC" w:eastAsia="Noto Sans CJK SC"/>
          </w:rPr>
          <w:t>执行摘要</w:t>
        </w:r>
      </w:hyperlink>
    </w:p>
    <w:p>
      <w:pPr>
        <w:spacing w:after="40"/>
        <w:ind w:left="170"/>
      </w:pPr>
      <w:hyperlink w:anchor="method" w:history="1">
        <w:r>
          <w:rPr>
            <w:color w:val="275DAD"/>
            <w:u w:val="single"/>
            <w:rFonts w:ascii="Noto Sans CJK SC" w:hAnsi="Noto Sans CJK SC" w:eastAsia="Noto Sans CJK SC"/>
          </w:rPr>
          <w:t>一、研究方法：怎样读一份政府工作报告</w:t>
        </w:r>
      </w:hyperlink>
    </w:p>
    <w:p>
      <w:pPr>
        <w:spacing w:after="40"/>
        <w:ind w:left="170"/>
      </w:pPr>
      <w:hyperlink w:anchor="baseline" w:history="1">
        <w:r>
          <w:rPr>
            <w:color w:val="275DAD"/>
            <w:u w:val="single"/>
            <w:rFonts w:ascii="Noto Sans CJK SC" w:hAnsi="Noto Sans CJK SC" w:eastAsia="Noto Sans CJK SC"/>
          </w:rPr>
          <w:t>二、先看底盘：杭州为什么必须在2025年“换挡”</w:t>
        </w:r>
      </w:hyperlink>
    </w:p>
    <w:p>
      <w:pPr>
        <w:spacing w:after="40"/>
        <w:ind w:left="170"/>
      </w:pPr>
      <w:hyperlink w:anchor="detail1" w:history="1">
        <w:r>
          <w:rPr>
            <w:color w:val="275DAD"/>
            <w:u w:val="single"/>
            <w:rFonts w:ascii="Noto Sans CJK SC" w:hAnsi="Noto Sans CJK SC" w:eastAsia="Noto Sans CJK SC"/>
          </w:rPr>
          <w:t>三、细节（一）：报告的时间异常重要</w:t>
        </w:r>
      </w:hyperlink>
    </w:p>
    <w:p>
      <w:pPr>
        <w:spacing w:after="40"/>
        <w:ind w:left="170"/>
      </w:pPr>
      <w:hyperlink w:anchor="detail2" w:history="1">
        <w:r>
          <w:rPr>
            <w:color w:val="275DAD"/>
            <w:u w:val="single"/>
            <w:rFonts w:ascii="Noto Sans CJK SC" w:hAnsi="Noto Sans CJK SC" w:eastAsia="Noto Sans CJK SC"/>
          </w:rPr>
          <w:t>四、细节（二）：“万亿产业、千亿企业、百亿项目”</w:t>
        </w:r>
      </w:hyperlink>
    </w:p>
    <w:p>
      <w:pPr>
        <w:spacing w:after="40"/>
        <w:ind w:left="170"/>
      </w:pPr>
      <w:hyperlink w:anchor="detail3" w:history="1">
        <w:r>
          <w:rPr>
            <w:color w:val="275DAD"/>
            <w:u w:val="single"/>
            <w:rFonts w:ascii="Noto Sans CJK SC" w:hAnsi="Noto Sans CJK SC" w:eastAsia="Noto Sans CJK SC"/>
          </w:rPr>
          <w:t>五、细节（三）：杭州正在做一轮“再工业化”</w:t>
        </w:r>
      </w:hyperlink>
    </w:p>
    <w:p>
      <w:pPr>
        <w:spacing w:after="40"/>
        <w:ind w:left="170"/>
      </w:pPr>
      <w:hyperlink w:anchor="detail4" w:history="1">
        <w:r>
          <w:rPr>
            <w:color w:val="275DAD"/>
            <w:u w:val="single"/>
            <w:rFonts w:ascii="Noto Sans CJK SC" w:hAnsi="Noto Sans CJK SC" w:eastAsia="Noto Sans CJK SC"/>
          </w:rPr>
          <w:t>六、细节（四）：AI是一套技术—产业基础设施</w:t>
        </w:r>
      </w:hyperlink>
    </w:p>
    <w:p>
      <w:pPr>
        <w:spacing w:after="40"/>
        <w:ind w:left="170"/>
      </w:pPr>
      <w:hyperlink w:anchor="detail5" w:history="1">
        <w:r>
          <w:rPr>
            <w:color w:val="275DAD"/>
            <w:u w:val="single"/>
            <w:rFonts w:ascii="Noto Sans CJK SC" w:hAnsi="Noto Sans CJK SC" w:eastAsia="Noto Sans CJK SC"/>
          </w:rPr>
          <w:t>七、细节（五）：政府作为产业资本组织者</w:t>
        </w:r>
      </w:hyperlink>
    </w:p>
    <w:p>
      <w:pPr>
        <w:spacing w:after="40"/>
        <w:ind w:left="170"/>
      </w:pPr>
      <w:hyperlink w:anchor="detail6" w:history="1">
        <w:r>
          <w:rPr>
            <w:color w:val="275DAD"/>
            <w:u w:val="single"/>
            <w:rFonts w:ascii="Noto Sans CJK SC" w:hAnsi="Noto Sans CJK SC" w:eastAsia="Noto Sans CJK SC"/>
          </w:rPr>
          <w:t>八、细节（六）：土地财政退潮</w:t>
        </w:r>
      </w:hyperlink>
    </w:p>
    <w:p>
      <w:pPr>
        <w:spacing w:after="40"/>
        <w:ind w:left="170"/>
      </w:pPr>
      <w:hyperlink w:anchor="detail7" w:history="1">
        <w:r>
          <w:rPr>
            <w:color w:val="275DAD"/>
            <w:u w:val="single"/>
            <w:rFonts w:ascii="Noto Sans CJK SC" w:hAnsi="Noto Sans CJK SC" w:eastAsia="Noto Sans CJK SC"/>
          </w:rPr>
          <w:t>九、细节（七）：上级资金＋地方债</w:t>
        </w:r>
      </w:hyperlink>
    </w:p>
    <w:p>
      <w:pPr>
        <w:spacing w:after="40"/>
        <w:ind w:left="170"/>
      </w:pPr>
      <w:hyperlink w:anchor="detail8" w:history="1">
        <w:r>
          <w:rPr>
            <w:color w:val="275DAD"/>
            <w:u w:val="single"/>
            <w:rFonts w:ascii="Noto Sans CJK SC" w:hAnsi="Noto Sans CJK SC" w:eastAsia="Noto Sans CJK SC"/>
          </w:rPr>
          <w:t>十、细节（八）：房地产角色变化</w:t>
        </w:r>
      </w:hyperlink>
    </w:p>
    <w:p>
      <w:pPr>
        <w:spacing w:after="40"/>
        <w:ind w:left="170"/>
      </w:pPr>
      <w:hyperlink w:anchor="detail9" w:history="1">
        <w:r>
          <w:rPr>
            <w:color w:val="275DAD"/>
            <w:u w:val="single"/>
            <w:rFonts w:ascii="Noto Sans CJK SC" w:hAnsi="Noto Sans CJK SC" w:eastAsia="Noto Sans CJK SC"/>
          </w:rPr>
          <w:t>十一、细节（九）：营商环境进入要素配置</w:t>
        </w:r>
      </w:hyperlink>
    </w:p>
    <w:p>
      <w:pPr>
        <w:spacing w:after="40"/>
        <w:ind w:left="170"/>
      </w:pPr>
      <w:hyperlink w:anchor="detail10" w:history="1">
        <w:r>
          <w:rPr>
            <w:color w:val="275DAD"/>
            <w:u w:val="single"/>
            <w:rFonts w:ascii="Noto Sans CJK SC" w:hAnsi="Noto Sans CJK SC" w:eastAsia="Noto Sans CJK SC"/>
          </w:rPr>
          <w:t>十二、细节（十）：消费场景与收入约束</w:t>
        </w:r>
      </w:hyperlink>
    </w:p>
    <w:p>
      <w:pPr>
        <w:spacing w:after="40"/>
        <w:ind w:left="170"/>
      </w:pPr>
      <w:hyperlink w:anchor="detail11" w:history="1">
        <w:r>
          <w:rPr>
            <w:color w:val="275DAD"/>
            <w:u w:val="single"/>
            <w:rFonts w:ascii="Noto Sans CJK SC" w:hAnsi="Noto Sans CJK SC" w:eastAsia="Noto Sans CJK SC"/>
          </w:rPr>
          <w:t>十三、细节（十一）：出口强、外资弱</w:t>
        </w:r>
      </w:hyperlink>
    </w:p>
    <w:p>
      <w:pPr>
        <w:spacing w:after="40"/>
        <w:ind w:left="170"/>
      </w:pPr>
      <w:hyperlink w:anchor="detail12" w:history="1">
        <w:r>
          <w:rPr>
            <w:color w:val="275DAD"/>
            <w:u w:val="single"/>
            <w:rFonts w:ascii="Noto Sans CJK SC" w:hAnsi="Noto Sans CJK SC" w:eastAsia="Noto Sans CJK SC"/>
          </w:rPr>
          <w:t>十四、细节（十二）：人口结构重排</w:t>
        </w:r>
      </w:hyperlink>
    </w:p>
    <w:p>
      <w:pPr>
        <w:spacing w:after="40"/>
        <w:ind w:left="170"/>
      </w:pPr>
      <w:hyperlink w:anchor="score" w:history="1">
        <w:r>
          <w:rPr>
            <w:color w:val="275DAD"/>
            <w:u w:val="single"/>
            <w:rFonts w:ascii="Noto Sans CJK SC" w:hAnsi="Noto Sans CJK SC" w:eastAsia="Noto Sans CJK SC"/>
          </w:rPr>
          <w:t>十五、2025目标—实际检验</w:t>
        </w:r>
      </w:hyperlink>
    </w:p>
    <w:p>
      <w:pPr>
        <w:spacing w:after="40"/>
        <w:ind w:left="170"/>
      </w:pPr>
      <w:hyperlink w:anchor="engine" w:history="1">
        <w:r>
          <w:rPr>
            <w:color w:val="275DAD"/>
            <w:u w:val="single"/>
            <w:rFonts w:ascii="Noto Sans CJK SC" w:hAnsi="Noto Sans CJK SC" w:eastAsia="Noto Sans CJK SC"/>
          </w:rPr>
          <w:t>十六、增长发动机换挡图</w:t>
        </w:r>
      </w:hyperlink>
    </w:p>
    <w:p>
      <w:pPr>
        <w:spacing w:after="40"/>
        <w:ind w:left="170"/>
      </w:pPr>
      <w:hyperlink w:anchor="implications" w:history="1">
        <w:r>
          <w:rPr>
            <w:color w:val="275DAD"/>
            <w:u w:val="single"/>
            <w:rFonts w:ascii="Noto Sans CJK SC" w:hAnsi="Noto Sans CJK SC" w:eastAsia="Noto Sans CJK SC"/>
          </w:rPr>
          <w:t>十七、对企业、产业和普通人的含义</w:t>
        </w:r>
      </w:hyperlink>
    </w:p>
    <w:p>
      <w:pPr>
        <w:spacing w:after="40"/>
        <w:ind w:left="170"/>
      </w:pPr>
      <w:hyperlink w:anchor="watch" w:history="1">
        <w:r>
          <w:rPr>
            <w:color w:val="275DAD"/>
            <w:u w:val="single"/>
            <w:rFonts w:ascii="Noto Sans CJK SC" w:hAnsi="Noto Sans CJK SC" w:eastAsia="Noto Sans CJK SC"/>
          </w:rPr>
          <w:t>十八、未来2—3年追踪指标</w:t>
        </w:r>
      </w:hyperlink>
    </w:p>
    <w:p>
      <w:pPr>
        <w:spacing w:after="40"/>
        <w:ind w:left="170"/>
      </w:pPr>
      <w:hyperlink w:anchor="conclusion" w:history="1">
        <w:r>
          <w:rPr>
            <w:color w:val="275DAD"/>
            <w:u w:val="single"/>
            <w:rFonts w:ascii="Noto Sans CJK SC" w:hAnsi="Noto Sans CJK SC" w:eastAsia="Noto Sans CJK SC"/>
          </w:rPr>
          <w:t>十九、结论</w:t>
        </w:r>
      </w:hyperlink>
    </w:p>
    <w:p>
      <w:pPr>
        <w:spacing w:after="40"/>
        <w:ind w:left="170"/>
      </w:pPr>
      <w:hyperlink w:anchor="appendixA" w:history="1">
        <w:r>
          <w:rPr>
            <w:color w:val="275DAD"/>
            <w:u w:val="single"/>
            <w:rFonts w:ascii="Noto Sans CJK SC" w:hAnsi="Noto Sans CJK SC" w:eastAsia="Noto Sans CJK SC"/>
          </w:rPr>
          <w:t>附录A：核心数据速查</w:t>
        </w:r>
      </w:hyperlink>
    </w:p>
    <w:p>
      <w:pPr>
        <w:spacing w:after="40"/>
        <w:ind w:left="170"/>
      </w:pPr>
      <w:hyperlink w:anchor="refs" w:history="1">
        <w:r>
          <w:rPr>
            <w:color w:val="275DAD"/>
            <w:u w:val="single"/>
            <w:rFonts w:ascii="Noto Sans CJK SC" w:hAnsi="Noto Sans CJK SC" w:eastAsia="Noto Sans CJK SC"/>
          </w:rPr>
          <w:t>附录B：主要资料来源</w:t>
        </w:r>
      </w:hyperlink>
    </w:p>
    <w:p>
      <w:r>
        <w:br w:type="page"/>
      </w:r>
    </w:p>
    <w:p>
      <w:bookmarkStart w:id="1" w:name="exec"/>
      <w:pPr>
        <w:pStyle w:val="Heading1"/>
      </w:pPr>
      <w:r>
        <w:t>执行摘要</w:t>
      </w:r>
      <w:bookmarkEnd w:id="1"/>
    </w:p>
    <w:p>
      <w:pPr>
        <w:spacing w:after="100" w:line="348" w:lineRule="auto"/>
      </w:pPr>
      <w:r>
        <w:rPr>
          <w:rFonts w:ascii="Noto Sans CJK SC" w:hAnsi="Noto Sans CJK SC" w:eastAsia="Noto Sans CJK SC"/>
        </w:rPr>
        <w:t>如果只看新闻标题，2025年的杭州最显眼的是DeepSeek、宇树科技、“杭州六小龙”和人工智能。但政府工作报告真正重要的地方，并不是“点名了哪些明星企业”，而是城市最稀缺的资源——财政资金、产业基金、工业土地、能耗指标、算力、重大项目、公共数据和人才政策——正在被重新配置。</w:t>
      </w:r>
    </w:p>
    <w:p>
      <w:pPr>
        <w:spacing w:after="100" w:line="348" w:lineRule="auto"/>
      </w:pPr>
      <w:r>
        <w:rPr>
          <w:rFonts w:ascii="Noto Sans CJK SC" w:hAnsi="Noto Sans CJK SC" w:eastAsia="Noto Sans CJK SC"/>
        </w:rPr>
        <w:t>把2025年政府工作报告与2024年预算执行、2025年实际经济结果、2026年政府工作报告放在一起看，可以得到一个更完整的判断：杭州正在经历一次“增长发动机换挡”。旧的增长组合（互联网平台、房地产、土地开发、城市建设）并未消失，但边际贡献下降；新的增长组合（AI、硬科技、先进制造、生产性服务业、出口和产业资本）被要求更快补位。</w:t>
      </w:r>
    </w:p>
    <w:tbl>
      <w:tblPr>
        <w:tblW w:type="auto" w:w="0"/>
        <w:jc w:val="center"/>
        <w:tblLayout w:type="fixed"/>
        <w:tblLook w:firstColumn="1" w:firstRow="1" w:lastColumn="0" w:lastRow="0" w:noHBand="0" w:noVBand="1" w:val="04A0"/>
      </w:tblPr>
      <w:tblGrid>
        <w:gridCol w:w="9241"/>
      </w:tblGrid>
      <w:tr>
        <w:trPr>
          <w:tblHeader w:val="true"/>
          <w:cantSplit/>
        </w:trPr>
        <w:tc>
          <w:tcPr>
            <w:tcW w:type="dxa" w:w="9632"/>
            <w:shd w:fill="EEF4FF"/>
            <w:tcMar>
              <w:top w:w="130" w:type="dxa"/>
              <w:start w:w="180" w:type="dxa"/>
              <w:bottom w:w="130" w:type="dxa"/>
              <w:end w:w="180" w:type="dxa"/>
            </w:tcMar>
          </w:tcPr>
          <w:p>
            <w:pPr>
              <w:spacing w:after="80"/>
            </w:pPr>
            <w:r>
              <w:rPr>
                <w:rFonts w:ascii="Noto Sans CJK SC" w:hAnsi="Noto Sans CJK SC" w:eastAsia="Noto Sans CJK SC"/>
                <w:b/>
                <w:color w:val="275DAD"/>
                <w:sz w:val="22"/>
              </w:rPr>
              <w:t>一页结论</w:t>
            </w:r>
          </w:p>
          <w:p>
            <w:pPr>
              <w:spacing w:line="324" w:lineRule="auto" w:after="0"/>
            </w:pPr>
            <w:r>
              <w:rPr>
                <w:rFonts w:ascii="Noto Sans CJK SC" w:hAnsi="Noto Sans CJK SC" w:eastAsia="Noto Sans CJK SC"/>
                <w:sz w:val="21"/>
              </w:rPr>
              <w:t>最值得记住的不是“杭州要发展AI”，而是：杭州需要把极强的创新活力，转化成更厚的实体产业、更持续的民间投资、更稳定的就业和更可持续的财政税源。若这一转化成功，杭州会完成新一轮城市经济结构升级；若只出现明星公司和资本热度，而未形成足够规模的投资、税收和就业，则会出现“微观科技繁荣、宏观体感偏弱”的分化。</w:t>
            </w:r>
          </w:p>
        </w:tc>
      </w:tr>
    </w:tbl>
    <w:p>
      <w:pPr>
        <w:spacing w:after="0"/>
      </w:pPr>
    </w:p>
    <w:p>
      <w:pPr>
        <w:pStyle w:val="Heading2"/>
      </w:pPr>
      <w:r>
        <w:t>十个关键发现</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624"/>
        <w:gridCol w:w="2721"/>
        <w:gridCol w:w="5953"/>
      </w:tblGrid>
      <w:tr>
        <w:trPr>
          <w:tblHeader w:val="true"/>
          <w:tblHeader w:val="true"/>
          <w:cantSplit/>
        </w:trPr>
        <w:tc>
          <w:tcPr>
            <w:tcW w:type="dxa" w:w="3211"/>
            <w:shd w:fill="17365D"/>
            <w:tcMar>
              <w:top w:w="90" w:type="dxa"/>
              <w:start w:w="110" w:type="dxa"/>
              <w:bottom w:w="90" w:type="dxa"/>
              <w:end w:w="110" w:type="dxa"/>
            </w:tcMar>
          </w:tcPr>
          <w:p>
            <w:r>
              <w:rPr>
                <w:rFonts w:ascii="Noto Sans CJK SC" w:hAnsi="Noto Sans CJK SC" w:eastAsia="Noto Sans CJK SC"/>
                <w:b/>
                <w:color w:val="FFFFFF"/>
                <w:sz w:val="19"/>
              </w:rPr>
              <w:t>序</w:t>
            </w:r>
          </w:p>
        </w:tc>
        <w:tc>
          <w:tcPr>
            <w:tcW w:type="dxa" w:w="3211"/>
            <w:shd w:fill="17365D"/>
            <w:tcMar>
              <w:top w:w="90" w:type="dxa"/>
              <w:start w:w="110" w:type="dxa"/>
              <w:bottom w:w="90" w:type="dxa"/>
              <w:end w:w="110" w:type="dxa"/>
            </w:tcMar>
          </w:tcPr>
          <w:p>
            <w:r>
              <w:rPr>
                <w:rFonts w:ascii="Noto Sans CJK SC" w:hAnsi="Noto Sans CJK SC" w:eastAsia="Noto Sans CJK SC"/>
                <w:b/>
                <w:color w:val="FFFFFF"/>
                <w:sz w:val="19"/>
              </w:rPr>
              <w:t>发现</w:t>
            </w:r>
          </w:p>
        </w:tc>
        <w:tc>
          <w:tcPr>
            <w:tcW w:type="dxa" w:w="3211"/>
            <w:shd w:fill="17365D"/>
            <w:tcMar>
              <w:top w:w="90" w:type="dxa"/>
              <w:start w:w="110" w:type="dxa"/>
              <w:bottom w:w="90" w:type="dxa"/>
              <w:end w:w="110" w:type="dxa"/>
            </w:tcMar>
          </w:tcPr>
          <w:p>
            <w:r>
              <w:rPr>
                <w:rFonts w:ascii="Noto Sans CJK SC" w:hAnsi="Noto Sans CJK SC" w:eastAsia="Noto Sans CJK SC"/>
                <w:b/>
                <w:color w:val="FFFFFF"/>
                <w:sz w:val="19"/>
              </w:rPr>
              <w:t>为什么重要</w:t>
            </w:r>
          </w:p>
        </w:tc>
      </w:tr>
      <w:tr>
        <w:trPr>
          <w:cantSplit/>
        </w:trPr>
        <w:tc>
          <w:tcPr>
            <w:tcW w:type="dxa" w:w="624"/>
            <w:tcMar>
              <w:top w:w="90" w:type="dxa"/>
              <w:start w:w="110" w:type="dxa"/>
              <w:bottom w:w="90" w:type="dxa"/>
              <w:end w:w="110" w:type="dxa"/>
            </w:tcMar>
            <w:vAlign w:val="center"/>
          </w:tcPr>
          <w:p>
            <w:r>
              <w:rPr>
                <w:rFonts w:ascii="Noto Sans CJK SC" w:hAnsi="Noto Sans CJK SC" w:eastAsia="Noto Sans CJK SC"/>
                <w:b w:val="0"/>
                <w:sz w:val="18"/>
              </w:rPr>
              <w:t>1</w:t>
            </w:r>
          </w:p>
        </w:tc>
        <w:tc>
          <w:tcPr>
            <w:tcW w:type="dxa" w:w="2721"/>
            <w:tcMar>
              <w:top w:w="90" w:type="dxa"/>
              <w:start w:w="110" w:type="dxa"/>
              <w:bottom w:w="90" w:type="dxa"/>
              <w:end w:w="110" w:type="dxa"/>
            </w:tcMar>
            <w:vAlign w:val="center"/>
          </w:tcPr>
          <w:p>
            <w:r>
              <w:rPr>
                <w:rFonts w:ascii="Noto Sans CJK SC" w:hAnsi="Noto Sans CJK SC" w:eastAsia="Noto Sans CJK SC"/>
                <w:b/>
                <w:sz w:val="18"/>
              </w:rPr>
              <w:t>报告时间本身就是信号</w:t>
            </w:r>
          </w:p>
        </w:tc>
        <w:tc>
          <w:tcPr>
            <w:tcW w:type="dxa" w:w="5953"/>
            <w:tcMar>
              <w:top w:w="90" w:type="dxa"/>
              <w:start w:w="110" w:type="dxa"/>
              <w:bottom w:w="90" w:type="dxa"/>
              <w:end w:w="110" w:type="dxa"/>
            </w:tcMar>
            <w:vAlign w:val="center"/>
          </w:tcPr>
          <w:p>
            <w:r>
              <w:rPr>
                <w:rFonts w:ascii="Noto Sans CJK SC" w:hAnsi="Noto Sans CJK SC" w:eastAsia="Noto Sans CJK SC"/>
                <w:b w:val="0"/>
                <w:sz w:val="18"/>
              </w:rPr>
              <w:t>2025年报告在5月下旬作出，已经包含一季度数据和“4月应对关税战”，因此更像“年度计划＋年中纠偏”。</w:t>
            </w:r>
          </w:p>
        </w:tc>
      </w:tr>
      <w:tr>
        <w:trPr>
          <w:cantSplit/>
        </w:trPr>
        <w:tc>
          <w:tcPr>
            <w:tcW w:type="dxa" w:w="624"/>
            <w:tcMar>
              <w:top w:w="90" w:type="dxa"/>
              <w:start w:w="110" w:type="dxa"/>
              <w:bottom w:w="90" w:type="dxa"/>
              <w:end w:w="110" w:type="dxa"/>
            </w:tcMar>
            <w:vAlign w:val="center"/>
            <w:shd w:fill="F7F9FC"/>
          </w:tcPr>
          <w:p>
            <w:r>
              <w:rPr>
                <w:rFonts w:ascii="Noto Sans CJK SC" w:hAnsi="Noto Sans CJK SC" w:eastAsia="Noto Sans CJK SC"/>
                <w:b w:val="0"/>
                <w:sz w:val="18"/>
              </w:rPr>
              <w:t>2</w:t>
            </w:r>
          </w:p>
        </w:tc>
        <w:tc>
          <w:tcPr>
            <w:tcW w:type="dxa" w:w="2721"/>
            <w:tcMar>
              <w:top w:w="90" w:type="dxa"/>
              <w:start w:w="110" w:type="dxa"/>
              <w:bottom w:w="90" w:type="dxa"/>
              <w:end w:w="110" w:type="dxa"/>
            </w:tcMar>
            <w:vAlign w:val="center"/>
            <w:shd w:fill="F7F9FC"/>
          </w:tcPr>
          <w:p>
            <w:r>
              <w:rPr>
                <w:rFonts w:ascii="Noto Sans CJK SC" w:hAnsi="Noto Sans CJK SC" w:eastAsia="Noto Sans CJK SC"/>
                <w:b/>
                <w:sz w:val="18"/>
              </w:rPr>
              <w:t>官方主动承认“产业厚度”不足</w:t>
            </w:r>
          </w:p>
        </w:tc>
        <w:tc>
          <w:tcPr>
            <w:tcW w:type="dxa" w:w="5953"/>
            <w:tcMar>
              <w:top w:w="90" w:type="dxa"/>
              <w:start w:w="110" w:type="dxa"/>
              <w:bottom w:w="90" w:type="dxa"/>
              <w:end w:w="110" w:type="dxa"/>
            </w:tcMar>
            <w:vAlign w:val="center"/>
            <w:shd w:fill="F7F9FC"/>
          </w:tcPr>
          <w:p>
            <w:r>
              <w:rPr>
                <w:rFonts w:ascii="Noto Sans CJK SC" w:hAnsi="Noto Sans CJK SC" w:eastAsia="Noto Sans CJK SC"/>
                <w:b w:val="0"/>
                <w:sz w:val="18"/>
              </w:rPr>
              <w:t>“万亿产业、千亿企业、百亿项目数量相对偏少”，暴露杭州并不缺创新，而更缺可形成大规模产值、投资与税源的产业链。</w:t>
            </w:r>
          </w:p>
        </w:tc>
      </w:tr>
      <w:tr>
        <w:trPr>
          <w:cantSplit/>
        </w:trPr>
        <w:tc>
          <w:tcPr>
            <w:tcW w:type="dxa" w:w="624"/>
            <w:tcMar>
              <w:top w:w="90" w:type="dxa"/>
              <w:start w:w="110" w:type="dxa"/>
              <w:bottom w:w="90" w:type="dxa"/>
              <w:end w:w="110" w:type="dxa"/>
            </w:tcMar>
            <w:vAlign w:val="center"/>
          </w:tcPr>
          <w:p>
            <w:r>
              <w:rPr>
                <w:rFonts w:ascii="Noto Sans CJK SC" w:hAnsi="Noto Sans CJK SC" w:eastAsia="Noto Sans CJK SC"/>
                <w:b w:val="0"/>
                <w:sz w:val="18"/>
              </w:rPr>
              <w:t>3</w:t>
            </w:r>
          </w:p>
        </w:tc>
        <w:tc>
          <w:tcPr>
            <w:tcW w:type="dxa" w:w="2721"/>
            <w:tcMar>
              <w:top w:w="90" w:type="dxa"/>
              <w:start w:w="110" w:type="dxa"/>
              <w:bottom w:w="90" w:type="dxa"/>
              <w:end w:w="110" w:type="dxa"/>
            </w:tcMar>
            <w:vAlign w:val="center"/>
          </w:tcPr>
          <w:p>
            <w:r>
              <w:rPr>
                <w:rFonts w:ascii="Noto Sans CJK SC" w:hAnsi="Noto Sans CJK SC" w:eastAsia="Noto Sans CJK SC"/>
                <w:b/>
                <w:sz w:val="18"/>
              </w:rPr>
              <w:t>制造业获得稀缺要素倾斜</w:t>
            </w:r>
          </w:p>
        </w:tc>
        <w:tc>
          <w:tcPr>
            <w:tcW w:type="dxa" w:w="5953"/>
            <w:tcMar>
              <w:top w:w="90" w:type="dxa"/>
              <w:start w:w="110" w:type="dxa"/>
              <w:bottom w:w="90" w:type="dxa"/>
              <w:end w:w="110" w:type="dxa"/>
            </w:tcMar>
            <w:vAlign w:val="center"/>
          </w:tcPr>
          <w:p>
            <w:r>
              <w:rPr>
                <w:rFonts w:ascii="Noto Sans CJK SC" w:hAnsi="Noto Sans CJK SC" w:eastAsia="Noto Sans CJK SC"/>
                <w:b w:val="0"/>
                <w:sz w:val="18"/>
              </w:rPr>
              <w:t>1万亩工业用地、250万平方米“工业上楼”空间、制造业投资增速目标，说明“再工业化”不是口号，而是资源配置。</w:t>
            </w:r>
          </w:p>
        </w:tc>
      </w:tr>
      <w:tr>
        <w:trPr>
          <w:cantSplit/>
        </w:trPr>
        <w:tc>
          <w:tcPr>
            <w:tcW w:type="dxa" w:w="624"/>
            <w:tcMar>
              <w:top w:w="90" w:type="dxa"/>
              <w:start w:w="110" w:type="dxa"/>
              <w:bottom w:w="90" w:type="dxa"/>
              <w:end w:w="110" w:type="dxa"/>
            </w:tcMar>
            <w:vAlign w:val="center"/>
            <w:shd w:fill="F7F9FC"/>
          </w:tcPr>
          <w:p>
            <w:r>
              <w:rPr>
                <w:rFonts w:ascii="Noto Sans CJK SC" w:hAnsi="Noto Sans CJK SC" w:eastAsia="Noto Sans CJK SC"/>
                <w:b w:val="0"/>
                <w:sz w:val="18"/>
              </w:rPr>
              <w:t>4</w:t>
            </w:r>
          </w:p>
        </w:tc>
        <w:tc>
          <w:tcPr>
            <w:tcW w:type="dxa" w:w="2721"/>
            <w:tcMar>
              <w:top w:w="90" w:type="dxa"/>
              <w:start w:w="110" w:type="dxa"/>
              <w:bottom w:w="90" w:type="dxa"/>
              <w:end w:w="110" w:type="dxa"/>
            </w:tcMar>
            <w:vAlign w:val="center"/>
            <w:shd w:fill="F7F9FC"/>
          </w:tcPr>
          <w:p>
            <w:r>
              <w:rPr>
                <w:rFonts w:ascii="Noto Sans CJK SC" w:hAnsi="Noto Sans CJK SC" w:eastAsia="Noto Sans CJK SC"/>
                <w:b/>
                <w:sz w:val="18"/>
              </w:rPr>
              <w:t>AI被当作基础设施而非单点产业</w:t>
            </w:r>
          </w:p>
        </w:tc>
        <w:tc>
          <w:tcPr>
            <w:tcW w:type="dxa" w:w="5953"/>
            <w:tcMar>
              <w:top w:w="90" w:type="dxa"/>
              <w:start w:w="110" w:type="dxa"/>
              <w:bottom w:w="90" w:type="dxa"/>
              <w:end w:w="110" w:type="dxa"/>
            </w:tcMar>
            <w:vAlign w:val="center"/>
            <w:shd w:fill="F7F9FC"/>
          </w:tcPr>
          <w:p>
            <w:r>
              <w:rPr>
                <w:rFonts w:ascii="Noto Sans CJK SC" w:hAnsi="Noto Sans CJK SC" w:eastAsia="Noto Sans CJK SC"/>
                <w:b w:val="0"/>
                <w:sz w:val="18"/>
              </w:rPr>
              <w:t>算力、芯片、模型、数据、软件、应用场景与具身智能被连成一条链，杭州在补“软强硬弱”的产业结构。</w:t>
            </w:r>
          </w:p>
        </w:tc>
      </w:tr>
      <w:tr>
        <w:trPr>
          <w:cantSplit/>
        </w:trPr>
        <w:tc>
          <w:tcPr>
            <w:tcW w:type="dxa" w:w="624"/>
            <w:tcMar>
              <w:top w:w="90" w:type="dxa"/>
              <w:start w:w="110" w:type="dxa"/>
              <w:bottom w:w="90" w:type="dxa"/>
              <w:end w:w="110" w:type="dxa"/>
            </w:tcMar>
            <w:vAlign w:val="center"/>
          </w:tcPr>
          <w:p>
            <w:r>
              <w:rPr>
                <w:rFonts w:ascii="Noto Sans CJK SC" w:hAnsi="Noto Sans CJK SC" w:eastAsia="Noto Sans CJK SC"/>
                <w:b w:val="0"/>
                <w:sz w:val="18"/>
              </w:rPr>
              <w:t>5</w:t>
            </w:r>
          </w:p>
        </w:tc>
        <w:tc>
          <w:tcPr>
            <w:tcW w:type="dxa" w:w="2721"/>
            <w:tcMar>
              <w:top w:w="90" w:type="dxa"/>
              <w:start w:w="110" w:type="dxa"/>
              <w:bottom w:w="90" w:type="dxa"/>
              <w:end w:w="110" w:type="dxa"/>
            </w:tcMar>
            <w:vAlign w:val="center"/>
          </w:tcPr>
          <w:p>
            <w:r>
              <w:rPr>
                <w:rFonts w:ascii="Noto Sans CJK SC" w:hAnsi="Noto Sans CJK SC" w:eastAsia="Noto Sans CJK SC"/>
                <w:b/>
                <w:sz w:val="18"/>
              </w:rPr>
              <w:t>政府角色由补贴者向资本组织者升级</w:t>
            </w:r>
          </w:p>
        </w:tc>
        <w:tc>
          <w:tcPr>
            <w:tcW w:type="dxa" w:w="5953"/>
            <w:tcMar>
              <w:top w:w="90" w:type="dxa"/>
              <w:start w:w="110" w:type="dxa"/>
              <w:bottom w:w="90" w:type="dxa"/>
              <w:end w:w="110" w:type="dxa"/>
            </w:tcMar>
            <w:vAlign w:val="center"/>
          </w:tcPr>
          <w:p>
            <w:r>
              <w:rPr>
                <w:rFonts w:ascii="Noto Sans CJK SC" w:hAnsi="Noto Sans CJK SC" w:eastAsia="Noto Sans CJK SC"/>
                <w:b w:val="0"/>
                <w:sz w:val="18"/>
              </w:rPr>
              <w:t>“3+N”产业基金集群力争突破3000亿元，政府基金强调投早、投小、投长期、投硬科技。</w:t>
            </w:r>
          </w:p>
        </w:tc>
      </w:tr>
      <w:tr>
        <w:trPr>
          <w:cantSplit/>
        </w:trPr>
        <w:tc>
          <w:tcPr>
            <w:tcW w:type="dxa" w:w="624"/>
            <w:tcMar>
              <w:top w:w="90" w:type="dxa"/>
              <w:start w:w="110" w:type="dxa"/>
              <w:bottom w:w="90" w:type="dxa"/>
              <w:end w:w="110" w:type="dxa"/>
            </w:tcMar>
            <w:vAlign w:val="center"/>
            <w:shd w:fill="F7F9FC"/>
          </w:tcPr>
          <w:p>
            <w:r>
              <w:rPr>
                <w:rFonts w:ascii="Noto Sans CJK SC" w:hAnsi="Noto Sans CJK SC" w:eastAsia="Noto Sans CJK SC"/>
                <w:b w:val="0"/>
                <w:sz w:val="18"/>
              </w:rPr>
              <w:t>6</w:t>
            </w:r>
          </w:p>
        </w:tc>
        <w:tc>
          <w:tcPr>
            <w:tcW w:type="dxa" w:w="2721"/>
            <w:tcMar>
              <w:top w:w="90" w:type="dxa"/>
              <w:start w:w="110" w:type="dxa"/>
              <w:bottom w:w="90" w:type="dxa"/>
              <w:end w:w="110" w:type="dxa"/>
            </w:tcMar>
            <w:vAlign w:val="center"/>
            <w:shd w:fill="F7F9FC"/>
          </w:tcPr>
          <w:p>
            <w:r>
              <w:rPr>
                <w:rFonts w:ascii="Noto Sans CJK SC" w:hAnsi="Noto Sans CJK SC" w:eastAsia="Noto Sans CJK SC"/>
                <w:b/>
                <w:sz w:val="18"/>
              </w:rPr>
              <w:t>土地财政退潮是理解报告的钥匙</w:t>
            </w:r>
          </w:p>
        </w:tc>
        <w:tc>
          <w:tcPr>
            <w:tcW w:type="dxa" w:w="5953"/>
            <w:tcMar>
              <w:top w:w="90" w:type="dxa"/>
              <w:start w:w="110" w:type="dxa"/>
              <w:bottom w:w="90" w:type="dxa"/>
              <w:end w:w="110" w:type="dxa"/>
            </w:tcMar>
            <w:vAlign w:val="center"/>
            <w:shd w:fill="F7F9FC"/>
          </w:tcPr>
          <w:p>
            <w:r>
              <w:rPr>
                <w:rFonts w:ascii="Noto Sans CJK SC" w:hAnsi="Noto Sans CJK SC" w:eastAsia="Noto Sans CJK SC"/>
                <w:b w:val="0"/>
                <w:sz w:val="18"/>
              </w:rPr>
              <w:t>2024年全市国有土地使用权出让收入1395.6亿元，同比下降31.1%；2025年预算继续预计下降。</w:t>
            </w:r>
          </w:p>
        </w:tc>
      </w:tr>
      <w:tr>
        <w:trPr>
          <w:cantSplit/>
        </w:trPr>
        <w:tc>
          <w:tcPr>
            <w:tcW w:type="dxa" w:w="624"/>
            <w:tcMar>
              <w:top w:w="90" w:type="dxa"/>
              <w:start w:w="110" w:type="dxa"/>
              <w:bottom w:w="90" w:type="dxa"/>
              <w:end w:w="110" w:type="dxa"/>
            </w:tcMar>
            <w:vAlign w:val="center"/>
          </w:tcPr>
          <w:p>
            <w:r>
              <w:rPr>
                <w:rFonts w:ascii="Noto Sans CJK SC" w:hAnsi="Noto Sans CJK SC" w:eastAsia="Noto Sans CJK SC"/>
                <w:b w:val="0"/>
                <w:sz w:val="18"/>
              </w:rPr>
              <w:t>7</w:t>
            </w:r>
          </w:p>
        </w:tc>
        <w:tc>
          <w:tcPr>
            <w:tcW w:type="dxa" w:w="2721"/>
            <w:tcMar>
              <w:top w:w="90" w:type="dxa"/>
              <w:start w:w="110" w:type="dxa"/>
              <w:bottom w:w="90" w:type="dxa"/>
              <w:end w:w="110" w:type="dxa"/>
            </w:tcMar>
            <w:vAlign w:val="center"/>
          </w:tcPr>
          <w:p>
            <w:r>
              <w:rPr>
                <w:rFonts w:ascii="Noto Sans CJK SC" w:hAnsi="Noto Sans CJK SC" w:eastAsia="Noto Sans CJK SC"/>
                <w:b/>
                <w:sz w:val="18"/>
              </w:rPr>
              <w:t>债券与上级资金的重要性上升</w:t>
            </w:r>
          </w:p>
        </w:tc>
        <w:tc>
          <w:tcPr>
            <w:tcW w:type="dxa" w:w="5953"/>
            <w:tcMar>
              <w:top w:w="90" w:type="dxa"/>
              <w:start w:w="110" w:type="dxa"/>
              <w:bottom w:w="90" w:type="dxa"/>
              <w:end w:w="110" w:type="dxa"/>
            </w:tcMar>
            <w:vAlign w:val="center"/>
          </w:tcPr>
          <w:p>
            <w:r>
              <w:rPr>
                <w:rFonts w:ascii="Noto Sans CJK SC" w:hAnsi="Noto Sans CJK SC" w:eastAsia="Noto Sans CJK SC"/>
                <w:b w:val="0"/>
                <w:sz w:val="18"/>
              </w:rPr>
              <w:t>报告明确“应争尽争、能多则多”，地方债余额连续增长，未来关键在新增债务能否形成可持续回报。</w:t>
            </w:r>
          </w:p>
        </w:tc>
      </w:tr>
      <w:tr>
        <w:trPr>
          <w:cantSplit/>
        </w:trPr>
        <w:tc>
          <w:tcPr>
            <w:tcW w:type="dxa" w:w="624"/>
            <w:tcMar>
              <w:top w:w="90" w:type="dxa"/>
              <w:start w:w="110" w:type="dxa"/>
              <w:bottom w:w="90" w:type="dxa"/>
              <w:end w:w="110" w:type="dxa"/>
            </w:tcMar>
            <w:vAlign w:val="center"/>
            <w:shd w:fill="F7F9FC"/>
          </w:tcPr>
          <w:p>
            <w:r>
              <w:rPr>
                <w:rFonts w:ascii="Noto Sans CJK SC" w:hAnsi="Noto Sans CJK SC" w:eastAsia="Noto Sans CJK SC"/>
                <w:b w:val="0"/>
                <w:sz w:val="18"/>
              </w:rPr>
              <w:t>8</w:t>
            </w:r>
          </w:p>
        </w:tc>
        <w:tc>
          <w:tcPr>
            <w:tcW w:type="dxa" w:w="2721"/>
            <w:tcMar>
              <w:top w:w="90" w:type="dxa"/>
              <w:start w:w="110" w:type="dxa"/>
              <w:bottom w:w="90" w:type="dxa"/>
              <w:end w:w="110" w:type="dxa"/>
            </w:tcMar>
            <w:vAlign w:val="center"/>
            <w:shd w:fill="F7F9FC"/>
          </w:tcPr>
          <w:p>
            <w:r>
              <w:rPr>
                <w:rFonts w:ascii="Noto Sans CJK SC" w:hAnsi="Noto Sans CJK SC" w:eastAsia="Noto Sans CJK SC"/>
                <w:b/>
                <w:sz w:val="18"/>
              </w:rPr>
              <w:t>房地产从发动机变为稳定器</w:t>
            </w:r>
          </w:p>
        </w:tc>
        <w:tc>
          <w:tcPr>
            <w:tcW w:type="dxa" w:w="5953"/>
            <w:tcMar>
              <w:top w:w="90" w:type="dxa"/>
              <w:start w:w="110" w:type="dxa"/>
              <w:bottom w:w="90" w:type="dxa"/>
              <w:end w:w="110" w:type="dxa"/>
            </w:tcMar>
            <w:vAlign w:val="center"/>
            <w:shd w:fill="F7F9FC"/>
          </w:tcPr>
          <w:p>
            <w:r>
              <w:rPr>
                <w:rFonts w:ascii="Noto Sans CJK SC" w:hAnsi="Noto Sans CJK SC" w:eastAsia="Noto Sans CJK SC"/>
                <w:b w:val="0"/>
                <w:sz w:val="18"/>
              </w:rPr>
              <w:t>措辞重点转向刚需改善、保交房、“好房子”、城市更新和“人房地钱”联动，而不是重新依靠地产拉动全部增长。</w:t>
            </w:r>
          </w:p>
        </w:tc>
      </w:tr>
      <w:tr>
        <w:trPr>
          <w:cantSplit/>
        </w:trPr>
        <w:tc>
          <w:tcPr>
            <w:tcW w:type="dxa" w:w="624"/>
            <w:tcMar>
              <w:top w:w="90" w:type="dxa"/>
              <w:start w:w="110" w:type="dxa"/>
              <w:bottom w:w="90" w:type="dxa"/>
              <w:end w:w="110" w:type="dxa"/>
            </w:tcMar>
            <w:vAlign w:val="center"/>
          </w:tcPr>
          <w:p>
            <w:r>
              <w:rPr>
                <w:rFonts w:ascii="Noto Sans CJK SC" w:hAnsi="Noto Sans CJK SC" w:eastAsia="Noto Sans CJK SC"/>
                <w:b w:val="0"/>
                <w:sz w:val="18"/>
              </w:rPr>
              <w:t>9</w:t>
            </w:r>
          </w:p>
        </w:tc>
        <w:tc>
          <w:tcPr>
            <w:tcW w:type="dxa" w:w="2721"/>
            <w:tcMar>
              <w:top w:w="90" w:type="dxa"/>
              <w:start w:w="110" w:type="dxa"/>
              <w:bottom w:w="90" w:type="dxa"/>
              <w:end w:w="110" w:type="dxa"/>
            </w:tcMar>
            <w:vAlign w:val="center"/>
          </w:tcPr>
          <w:p>
            <w:r>
              <w:rPr>
                <w:rFonts w:ascii="Noto Sans CJK SC" w:hAnsi="Noto Sans CJK SC" w:eastAsia="Noto Sans CJK SC"/>
                <w:b/>
                <w:sz w:val="18"/>
              </w:rPr>
              <w:t>营商环境从“少跑腿”进入“要素配置”阶段</w:t>
            </w:r>
          </w:p>
        </w:tc>
        <w:tc>
          <w:tcPr>
            <w:tcW w:type="dxa" w:w="5953"/>
            <w:tcMar>
              <w:top w:w="90" w:type="dxa"/>
              <w:start w:w="110" w:type="dxa"/>
              <w:bottom w:w="90" w:type="dxa"/>
              <w:end w:w="110" w:type="dxa"/>
            </w:tcMar>
            <w:vAlign w:val="center"/>
          </w:tcPr>
          <w:p>
            <w:r>
              <w:rPr>
                <w:rFonts w:ascii="Noto Sans CJK SC" w:hAnsi="Noto Sans CJK SC" w:eastAsia="Noto Sans CJK SC"/>
                <w:b w:val="0"/>
                <w:sz w:val="18"/>
              </w:rPr>
              <w:t>工业用地、能耗指标明确向民间投资倾斜，说明民企真正关心的土地、能源、融资与项目机会正在成为政策核心。</w:t>
            </w:r>
          </w:p>
        </w:tc>
      </w:tr>
      <w:tr>
        <w:trPr>
          <w:cantSplit/>
        </w:trPr>
        <w:tc>
          <w:tcPr>
            <w:tcW w:type="dxa" w:w="624"/>
            <w:tcMar>
              <w:top w:w="90" w:type="dxa"/>
              <w:start w:w="110" w:type="dxa"/>
              <w:bottom w:w="90" w:type="dxa"/>
              <w:end w:w="110" w:type="dxa"/>
            </w:tcMar>
            <w:vAlign w:val="center"/>
            <w:shd w:fill="F7F9FC"/>
          </w:tcPr>
          <w:p>
            <w:r>
              <w:rPr>
                <w:rFonts w:ascii="Noto Sans CJK SC" w:hAnsi="Noto Sans CJK SC" w:eastAsia="Noto Sans CJK SC"/>
                <w:b w:val="0"/>
                <w:sz w:val="18"/>
              </w:rPr>
              <w:t>10</w:t>
            </w:r>
          </w:p>
        </w:tc>
        <w:tc>
          <w:tcPr>
            <w:tcW w:type="dxa" w:w="2721"/>
            <w:tcMar>
              <w:top w:w="90" w:type="dxa"/>
              <w:start w:w="110" w:type="dxa"/>
              <w:bottom w:w="90" w:type="dxa"/>
              <w:end w:w="110" w:type="dxa"/>
            </w:tcMar>
            <w:vAlign w:val="center"/>
            <w:shd w:fill="F7F9FC"/>
          </w:tcPr>
          <w:p>
            <w:r>
              <w:rPr>
                <w:rFonts w:ascii="Noto Sans CJK SC" w:hAnsi="Noto Sans CJK SC" w:eastAsia="Noto Sans CJK SC"/>
                <w:b/>
                <w:sz w:val="18"/>
              </w:rPr>
              <w:t>2025实绩显示“新经济强、传统需求弱”</w:t>
            </w:r>
          </w:p>
        </w:tc>
        <w:tc>
          <w:tcPr>
            <w:tcW w:type="dxa" w:w="5953"/>
            <w:tcMar>
              <w:top w:w="90" w:type="dxa"/>
              <w:start w:w="110" w:type="dxa"/>
              <w:bottom w:w="90" w:type="dxa"/>
              <w:end w:w="110" w:type="dxa"/>
            </w:tcMar>
            <w:vAlign w:val="center"/>
            <w:shd w:fill="F7F9FC"/>
          </w:tcPr>
          <w:p>
            <w:r>
              <w:rPr>
                <w:rFonts w:ascii="Noto Sans CJK SC" w:hAnsi="Noto Sans CJK SC" w:eastAsia="Noto Sans CJK SC"/>
                <w:b w:val="0"/>
                <w:sz w:val="18"/>
              </w:rPr>
              <w:t>工业、数字经济和出口较强；固定资产投资、消费和外资明显弱于目标，结构性分化非常清晰。</w:t>
            </w:r>
          </w:p>
        </w:tc>
      </w:tr>
    </w:tbl>
    <w:p>
      <w:pPr>
        <w:spacing w:before="0" w:after="100"/>
      </w:pPr>
      <w:r>
        <w:rPr>
          <w:rFonts w:ascii="Noto Sans CJK SC" w:hAnsi="Noto Sans CJK SC" w:eastAsia="Noto Sans CJK SC"/>
          <w:color w:val="69717D"/>
          <w:sz w:val="17"/>
        </w:rPr>
        <w:t>资料依据：[1]、[2]、[3]、[4]、[5]、[6]</w:t>
      </w:r>
    </w:p>
    <w:p>
      <w:r>
        <w:br w:type="page"/>
      </w:r>
    </w:p>
    <w:p>
      <w:bookmarkStart w:id="2" w:name="method"/>
      <w:pPr>
        <w:pStyle w:val="Heading1"/>
      </w:pPr>
      <w:r>
        <w:t>一、研究方法：怎样读一份政府工作报告</w:t>
      </w:r>
      <w:bookmarkEnd w:id="2"/>
    </w:p>
    <w:p>
      <w:pPr>
        <w:spacing w:after="100" w:line="348" w:lineRule="auto"/>
      </w:pPr>
      <w:r>
        <w:rPr>
          <w:rFonts w:ascii="Noto Sans CJK SC" w:hAnsi="Noto Sans CJK SC" w:eastAsia="Noto Sans CJK SC"/>
        </w:rPr>
        <w:t>政府工作报告同时承担总结、动员、承诺和政策信号功能。真正有价值的阅读方式，不是逐段摘抄，而是把“措辞、数字、资源和结果”放在同一个框架中。本文使用四层交叉验证。</w:t>
      </w:r>
    </w:p>
    <w:p>
      <w:pPr>
        <w:spacing w:after="100"/>
      </w:pPr>
      <w:r>
        <w:rPr>
          <w:rFonts w:ascii="Noto Sans CJK SC" w:hAnsi="Noto Sans CJK SC" w:eastAsia="Noto Sans CJK SC"/>
          <w:b/>
          <w:color w:val="275DAD"/>
        </w:rPr>
        <w:t>第一层：报告原文：</w:t>
      </w:r>
      <w:r>
        <w:rPr>
          <w:rFonts w:ascii="Noto Sans CJK SC" w:hAnsi="Noto Sans CJK SC" w:eastAsia="Noto Sans CJK SC"/>
        </w:rPr>
        <w:t>看政府主动强调什么、主动承认什么问题，以及哪些事项被赋予明确数量目标。</w:t>
      </w:r>
    </w:p>
    <w:p>
      <w:pPr>
        <w:spacing w:after="100"/>
      </w:pPr>
      <w:r>
        <w:rPr>
          <w:rFonts w:ascii="Noto Sans CJK SC" w:hAnsi="Noto Sans CJK SC" w:eastAsia="Noto Sans CJK SC"/>
          <w:b/>
          <w:color w:val="275DAD"/>
        </w:rPr>
        <w:t>第二层：预算与要素：</w:t>
      </w:r>
      <w:r>
        <w:rPr>
          <w:rFonts w:ascii="Noto Sans CJK SC" w:hAnsi="Noto Sans CJK SC" w:eastAsia="Noto Sans CJK SC"/>
        </w:rPr>
        <w:t>财政资金、土地、专项债、产业基金、能耗、算力等比口号更能反映真实优先级。</w:t>
      </w:r>
    </w:p>
    <w:p>
      <w:pPr>
        <w:spacing w:after="100"/>
      </w:pPr>
      <w:r>
        <w:rPr>
          <w:rFonts w:ascii="Noto Sans CJK SC" w:hAnsi="Noto Sans CJK SC" w:eastAsia="Noto Sans CJK SC"/>
          <w:b/>
          <w:color w:val="275DAD"/>
        </w:rPr>
        <w:t>第三层：年度结果：</w:t>
      </w:r>
      <w:r>
        <w:rPr>
          <w:rFonts w:ascii="Noto Sans CJK SC" w:hAnsi="Noto Sans CJK SC" w:eastAsia="Noto Sans CJK SC"/>
        </w:rPr>
        <w:t>用2025年实际GDP、工业、消费、投资、外资和出口结果检验当时目标是否实现。</w:t>
      </w:r>
    </w:p>
    <w:p>
      <w:pPr>
        <w:spacing w:after="100"/>
      </w:pPr>
      <w:r>
        <w:rPr>
          <w:rFonts w:ascii="Noto Sans CJK SC" w:hAnsi="Noto Sans CJK SC" w:eastAsia="Noto Sans CJK SC"/>
          <w:b/>
          <w:color w:val="275DAD"/>
        </w:rPr>
        <w:t>第四层：下一年复盘：</w:t>
      </w:r>
      <w:r>
        <w:rPr>
          <w:rFonts w:ascii="Noto Sans CJK SC" w:hAnsi="Noto Sans CJK SC" w:eastAsia="Noto Sans CJK SC"/>
        </w:rPr>
        <w:t>2026年政府工作报告对2025年的总结，能反向验证哪些政策成为真实成果、哪些问题仍未解决。</w:t>
      </w:r>
    </w:p>
    <w:tbl>
      <w:tblPr>
        <w:tblW w:type="auto" w:w="0"/>
        <w:jc w:val="center"/>
        <w:tblLayout w:type="fixed"/>
        <w:tblLook w:firstColumn="1" w:firstRow="1" w:lastColumn="0" w:lastRow="0" w:noHBand="0" w:noVBand="1" w:val="04A0"/>
      </w:tblPr>
      <w:tblGrid>
        <w:gridCol w:w="9241"/>
      </w:tblGrid>
      <w:tr>
        <w:trPr>
          <w:tblHeader w:val="true"/>
          <w:cantSplit/>
        </w:trPr>
        <w:tc>
          <w:tcPr>
            <w:tcW w:type="dxa" w:w="9632"/>
            <w:shd w:fill="FFF8E8"/>
            <w:tcMar>
              <w:top w:w="130" w:type="dxa"/>
              <w:start w:w="180" w:type="dxa"/>
              <w:bottom w:w="130" w:type="dxa"/>
              <w:end w:w="180" w:type="dxa"/>
            </w:tcMar>
          </w:tcPr>
          <w:p>
            <w:pPr>
              <w:spacing w:after="80"/>
            </w:pPr>
            <w:r>
              <w:rPr>
                <w:rFonts w:ascii="Noto Sans CJK SC" w:hAnsi="Noto Sans CJK SC" w:eastAsia="Noto Sans CJK SC"/>
                <w:b/>
                <w:color w:val="A86A00"/>
                <w:sz w:val="22"/>
              </w:rPr>
              <w:t>事实与分析的边界</w:t>
            </w:r>
          </w:p>
          <w:p>
            <w:pPr>
              <w:spacing w:line="324" w:lineRule="auto" w:after="0"/>
            </w:pPr>
            <w:r>
              <w:rPr>
                <w:rFonts w:ascii="Noto Sans CJK SC" w:hAnsi="Noto Sans CJK SC" w:eastAsia="Noto Sans CJK SC"/>
                <w:sz w:val="21"/>
              </w:rPr>
              <w:t>文中标为“官方数据/官方表述”的内容直接来自杭州市政府、财政局、统计局等公开材料；“意味着”“可以理解为”“更深层逻辑”等为本文基于这些材料作出的分析性推断。推断不等于官方立场。</w:t>
            </w:r>
          </w:p>
        </w:tc>
      </w:tr>
    </w:tbl>
    <w:p>
      <w:pPr>
        <w:spacing w:after="0"/>
      </w:pPr>
    </w:p>
    <w:p>
      <w:pPr>
        <w:pStyle w:val="Heading2"/>
      </w:pPr>
      <w:r>
        <w:t>关键时间轴</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701"/>
        <w:gridCol w:w="2835"/>
        <w:gridCol w:w="4762"/>
      </w:tblGrid>
      <w:tr>
        <w:trPr>
          <w:tblHeader w:val="true"/>
          <w:cantSplit/>
        </w:trPr>
        <w:tc>
          <w:tcPr>
            <w:tcW w:type="dxa" w:w="3211"/>
            <w:shd w:fill="275DAD"/>
          </w:tcPr>
          <w:p>
            <w:r>
              <w:rPr>
                <w:rFonts w:ascii="Noto Sans CJK SC" w:hAnsi="Noto Sans CJK SC" w:eastAsia="Noto Sans CJK SC"/>
                <w:b/>
                <w:color w:val="FFFFFF"/>
                <w:sz w:val="19"/>
              </w:rPr>
              <w:t>时间</w:t>
            </w:r>
          </w:p>
        </w:tc>
        <w:tc>
          <w:tcPr>
            <w:tcW w:type="dxa" w:w="3211"/>
            <w:shd w:fill="275DAD"/>
          </w:tcPr>
          <w:p>
            <w:r>
              <w:rPr>
                <w:rFonts w:ascii="Noto Sans CJK SC" w:hAnsi="Noto Sans CJK SC" w:eastAsia="Noto Sans CJK SC"/>
                <w:b/>
                <w:color w:val="FFFFFF"/>
                <w:sz w:val="19"/>
              </w:rPr>
              <w:t>材料</w:t>
            </w:r>
          </w:p>
        </w:tc>
        <w:tc>
          <w:tcPr>
            <w:tcW w:type="dxa" w:w="3211"/>
            <w:shd w:fill="275DAD"/>
          </w:tcPr>
          <w:p>
            <w:r>
              <w:rPr>
                <w:rFonts w:ascii="Noto Sans CJK SC" w:hAnsi="Noto Sans CJK SC" w:eastAsia="Noto Sans CJK SC"/>
                <w:b/>
                <w:color w:val="FFFFFF"/>
                <w:sz w:val="19"/>
              </w:rPr>
              <w:t>解释价值</w:t>
            </w:r>
          </w:p>
        </w:tc>
      </w:tr>
      <w:tr>
        <w:trPr>
          <w:cantSplit/>
        </w:trPr>
        <w:tc>
          <w:tcPr>
            <w:tcW w:type="dxa" w:w="1701"/>
            <w:tcMar>
              <w:top w:w="90" w:type="dxa"/>
              <w:start w:w="110" w:type="dxa"/>
              <w:bottom w:w="90" w:type="dxa"/>
              <w:end w:w="110" w:type="dxa"/>
            </w:tcMar>
          </w:tcPr>
          <w:p>
            <w:r>
              <w:rPr>
                <w:rFonts w:ascii="Noto Sans CJK SC" w:hAnsi="Noto Sans CJK SC" w:eastAsia="Noto Sans CJK SC"/>
                <w:sz w:val="18"/>
              </w:rPr>
              <w:t>2025-05-22</w:t>
            </w:r>
          </w:p>
        </w:tc>
        <w:tc>
          <w:tcPr>
            <w:tcW w:type="dxa" w:w="2835"/>
            <w:tcMar>
              <w:top w:w="90" w:type="dxa"/>
              <w:start w:w="110" w:type="dxa"/>
              <w:bottom w:w="90" w:type="dxa"/>
              <w:end w:w="110" w:type="dxa"/>
            </w:tcMar>
          </w:tcPr>
          <w:p>
            <w:r>
              <w:rPr>
                <w:rFonts w:ascii="Noto Sans CJK SC" w:hAnsi="Noto Sans CJK SC" w:eastAsia="Noto Sans CJK SC"/>
                <w:sz w:val="18"/>
              </w:rPr>
              <w:t>2025年政府工作报告</w:t>
            </w:r>
          </w:p>
        </w:tc>
        <w:tc>
          <w:tcPr>
            <w:tcW w:type="dxa" w:w="4762"/>
            <w:tcMar>
              <w:top w:w="90" w:type="dxa"/>
              <w:start w:w="110" w:type="dxa"/>
              <w:bottom w:w="90" w:type="dxa"/>
              <w:end w:w="110" w:type="dxa"/>
            </w:tcMar>
          </w:tcPr>
          <w:p>
            <w:r>
              <w:rPr>
                <w:rFonts w:ascii="Noto Sans CJK SC" w:hAnsi="Noto Sans CJK SC" w:eastAsia="Noto Sans CJK SC"/>
                <w:sz w:val="18"/>
              </w:rPr>
              <w:t>已经掌握一季度及4月外部冲击信息，不是纯粹年初预测。</w:t>
            </w:r>
          </w:p>
        </w:tc>
      </w:tr>
      <w:tr>
        <w:trPr>
          <w:cantSplit/>
        </w:trPr>
        <w:tc>
          <w:tcPr>
            <w:tcW w:type="dxa" w:w="1701"/>
            <w:tcMar>
              <w:top w:w="90" w:type="dxa"/>
              <w:start w:w="110" w:type="dxa"/>
              <w:bottom w:w="90" w:type="dxa"/>
              <w:end w:w="110" w:type="dxa"/>
            </w:tcMar>
          </w:tcPr>
          <w:p>
            <w:r>
              <w:rPr>
                <w:rFonts w:ascii="Noto Sans CJK SC" w:hAnsi="Noto Sans CJK SC" w:eastAsia="Noto Sans CJK SC"/>
                <w:sz w:val="18"/>
              </w:rPr>
              <w:t>2025-05-22</w:t>
            </w:r>
          </w:p>
        </w:tc>
        <w:tc>
          <w:tcPr>
            <w:tcW w:type="dxa" w:w="2835"/>
            <w:tcMar>
              <w:top w:w="90" w:type="dxa"/>
              <w:start w:w="110" w:type="dxa"/>
              <w:bottom w:w="90" w:type="dxa"/>
              <w:end w:w="110" w:type="dxa"/>
            </w:tcMar>
          </w:tcPr>
          <w:p>
            <w:r>
              <w:rPr>
                <w:rFonts w:ascii="Noto Sans CJK SC" w:hAnsi="Noto Sans CJK SC" w:eastAsia="Noto Sans CJK SC"/>
                <w:sz w:val="18"/>
              </w:rPr>
              <w:t>2024预算执行与2025预算草案</w:t>
            </w:r>
          </w:p>
        </w:tc>
        <w:tc>
          <w:tcPr>
            <w:tcW w:type="dxa" w:w="4762"/>
            <w:tcMar>
              <w:top w:w="90" w:type="dxa"/>
              <w:start w:w="110" w:type="dxa"/>
              <w:bottom w:w="90" w:type="dxa"/>
              <w:end w:w="110" w:type="dxa"/>
            </w:tcMar>
          </w:tcPr>
          <w:p>
            <w:r>
              <w:rPr>
                <w:rFonts w:ascii="Noto Sans CJK SC" w:hAnsi="Noto Sans CJK SC" w:eastAsia="Noto Sans CJK SC"/>
                <w:sz w:val="18"/>
              </w:rPr>
              <w:t>提供土地出让、政府性基金、专项债与产业财政投入等“硬约束”。</w:t>
            </w:r>
          </w:p>
        </w:tc>
      </w:tr>
      <w:tr>
        <w:trPr>
          <w:cantSplit/>
        </w:trPr>
        <w:tc>
          <w:tcPr>
            <w:tcW w:type="dxa" w:w="1701"/>
            <w:tcMar>
              <w:top w:w="90" w:type="dxa"/>
              <w:start w:w="110" w:type="dxa"/>
              <w:bottom w:w="90" w:type="dxa"/>
              <w:end w:w="110" w:type="dxa"/>
            </w:tcMar>
          </w:tcPr>
          <w:p>
            <w:r>
              <w:rPr>
                <w:rFonts w:ascii="Noto Sans CJK SC" w:hAnsi="Noto Sans CJK SC" w:eastAsia="Noto Sans CJK SC"/>
                <w:sz w:val="18"/>
              </w:rPr>
              <w:t>2026-01-23</w:t>
            </w:r>
          </w:p>
        </w:tc>
        <w:tc>
          <w:tcPr>
            <w:tcW w:type="dxa" w:w="2835"/>
            <w:tcMar>
              <w:top w:w="90" w:type="dxa"/>
              <w:start w:w="110" w:type="dxa"/>
              <w:bottom w:w="90" w:type="dxa"/>
              <w:end w:w="110" w:type="dxa"/>
            </w:tcMar>
          </w:tcPr>
          <w:p>
            <w:r>
              <w:rPr>
                <w:rFonts w:ascii="Noto Sans CJK SC" w:hAnsi="Noto Sans CJK SC" w:eastAsia="Noto Sans CJK SC"/>
                <w:sz w:val="18"/>
              </w:rPr>
              <w:t>2025年12月主要统计资料</w:t>
            </w:r>
          </w:p>
        </w:tc>
        <w:tc>
          <w:tcPr>
            <w:tcW w:type="dxa" w:w="4762"/>
            <w:tcMar>
              <w:top w:w="90" w:type="dxa"/>
              <w:start w:w="110" w:type="dxa"/>
              <w:bottom w:w="90" w:type="dxa"/>
              <w:end w:w="110" w:type="dxa"/>
            </w:tcMar>
          </w:tcPr>
          <w:p>
            <w:r>
              <w:rPr>
                <w:rFonts w:ascii="Noto Sans CJK SC" w:hAnsi="Noto Sans CJK SC" w:eastAsia="Noto Sans CJK SC"/>
                <w:sz w:val="18"/>
              </w:rPr>
              <w:t>提供全年工业、消费、投资、外资、进出口实绩。</w:t>
            </w:r>
          </w:p>
        </w:tc>
      </w:tr>
      <w:tr>
        <w:trPr>
          <w:cantSplit/>
        </w:trPr>
        <w:tc>
          <w:tcPr>
            <w:tcW w:type="dxa" w:w="1701"/>
            <w:tcMar>
              <w:top w:w="90" w:type="dxa"/>
              <w:start w:w="110" w:type="dxa"/>
              <w:bottom w:w="90" w:type="dxa"/>
              <w:end w:w="110" w:type="dxa"/>
            </w:tcMar>
          </w:tcPr>
          <w:p>
            <w:r>
              <w:rPr>
                <w:rFonts w:ascii="Noto Sans CJK SC" w:hAnsi="Noto Sans CJK SC" w:eastAsia="Noto Sans CJK SC"/>
                <w:sz w:val="18"/>
              </w:rPr>
              <w:t>2026-01-21/02-03发布</w:t>
            </w:r>
          </w:p>
        </w:tc>
        <w:tc>
          <w:tcPr>
            <w:tcW w:type="dxa" w:w="2835"/>
            <w:tcMar>
              <w:top w:w="90" w:type="dxa"/>
              <w:start w:w="110" w:type="dxa"/>
              <w:bottom w:w="90" w:type="dxa"/>
              <w:end w:w="110" w:type="dxa"/>
            </w:tcMar>
          </w:tcPr>
          <w:p>
            <w:r>
              <w:rPr>
                <w:rFonts w:ascii="Noto Sans CJK SC" w:hAnsi="Noto Sans CJK SC" w:eastAsia="Noto Sans CJK SC"/>
                <w:sz w:val="18"/>
              </w:rPr>
              <w:t>2026年政府工作报告</w:t>
            </w:r>
          </w:p>
        </w:tc>
        <w:tc>
          <w:tcPr>
            <w:tcW w:type="dxa" w:w="4762"/>
            <w:tcMar>
              <w:top w:w="90" w:type="dxa"/>
              <w:start w:w="110" w:type="dxa"/>
              <w:bottom w:w="90" w:type="dxa"/>
              <w:end w:w="110" w:type="dxa"/>
            </w:tcMar>
          </w:tcPr>
          <w:p>
            <w:r>
              <w:rPr>
                <w:rFonts w:ascii="Noto Sans CJK SC" w:hAnsi="Noto Sans CJK SC" w:eastAsia="Noto Sans CJK SC"/>
                <w:sz w:val="18"/>
              </w:rPr>
              <w:t>对2025年进行官方复盘，披露GDP、数字经济等年度结果。</w:t>
            </w:r>
          </w:p>
        </w:tc>
      </w:tr>
      <w:tr>
        <w:trPr>
          <w:cantSplit/>
        </w:trPr>
        <w:tc>
          <w:tcPr>
            <w:tcW w:type="dxa" w:w="1701"/>
            <w:tcMar>
              <w:top w:w="90" w:type="dxa"/>
              <w:start w:w="110" w:type="dxa"/>
              <w:bottom w:w="90" w:type="dxa"/>
              <w:end w:w="110" w:type="dxa"/>
            </w:tcMar>
          </w:tcPr>
          <w:p>
            <w:r>
              <w:rPr>
                <w:rFonts w:ascii="Noto Sans CJK SC" w:hAnsi="Noto Sans CJK SC" w:eastAsia="Noto Sans CJK SC"/>
                <w:sz w:val="18"/>
              </w:rPr>
              <w:t>2026-02</w:t>
            </w:r>
          </w:p>
        </w:tc>
        <w:tc>
          <w:tcPr>
            <w:tcW w:type="dxa" w:w="2835"/>
            <w:tcMar>
              <w:top w:w="90" w:type="dxa"/>
              <w:start w:w="110" w:type="dxa"/>
              <w:bottom w:w="90" w:type="dxa"/>
              <w:end w:w="110" w:type="dxa"/>
            </w:tcMar>
          </w:tcPr>
          <w:p>
            <w:r>
              <w:rPr>
                <w:rFonts w:ascii="Noto Sans CJK SC" w:hAnsi="Noto Sans CJK SC" w:eastAsia="Noto Sans CJK SC"/>
                <w:sz w:val="18"/>
              </w:rPr>
              <w:t>2025预算执行与2026预算草案</w:t>
            </w:r>
          </w:p>
        </w:tc>
        <w:tc>
          <w:tcPr>
            <w:tcW w:type="dxa" w:w="4762"/>
            <w:tcMar>
              <w:top w:w="90" w:type="dxa"/>
              <w:start w:w="110" w:type="dxa"/>
              <w:bottom w:w="90" w:type="dxa"/>
              <w:end w:w="110" w:type="dxa"/>
            </w:tcMar>
          </w:tcPr>
          <w:p>
            <w:r>
              <w:rPr>
                <w:rFonts w:ascii="Noto Sans CJK SC" w:hAnsi="Noto Sans CJK SC" w:eastAsia="Noto Sans CJK SC"/>
                <w:sz w:val="18"/>
              </w:rPr>
              <w:t>提供2025年财政与债务年末结果。</w:t>
            </w:r>
          </w:p>
        </w:tc>
      </w:tr>
    </w:tbl>
    <w:p>
      <w:pPr>
        <w:spacing w:before="0" w:after="100"/>
      </w:pPr>
      <w:r>
        <w:rPr>
          <w:rFonts w:ascii="Noto Sans CJK SC" w:hAnsi="Noto Sans CJK SC" w:eastAsia="Noto Sans CJK SC"/>
          <w:color w:val="69717D"/>
          <w:sz w:val="17"/>
        </w:rPr>
        <w:t>资料依据：[1]、[3]、[4]、[5]、[6]、[8]</w:t>
      </w:r>
    </w:p>
    <w:p>
      <w:bookmarkStart w:id="3" w:name="baseline"/>
      <w:pPr>
        <w:pStyle w:val="Heading1"/>
      </w:pPr>
      <w:r>
        <w:t>二、先看底盘：杭州为什么必须在2025年“换挡”</w:t>
      </w:r>
      <w:bookmarkEnd w:id="3"/>
    </w:p>
    <w:p>
      <w:pPr>
        <w:spacing w:after="100" w:line="348" w:lineRule="auto"/>
      </w:pPr>
      <w:r>
        <w:rPr>
          <w:rFonts w:ascii="Noto Sans CJK SC" w:hAnsi="Noto Sans CJK SC" w:eastAsia="Noto Sans CJK SC"/>
        </w:rPr>
        <w:t>2024年并不是杭州经济失速的一年，但它清楚暴露了旧增长模式的边际弱化：GDP仍增长，出口较强，但固定资产投资转负，工业增速偏低，消费增长有限，外资明显下降。政府在2025年报告里使用“部分指标未及预期”“民间投资活力不足”等表述，并不是例行自我批评，而是为后续政策重排提供理由。</w:t>
      </w:r>
    </w:p>
    <w:p>
      <w:pPr>
        <w:pStyle w:val="Heading2"/>
      </w:pPr>
      <w:r>
        <w:t>2024年关键经济信号</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494"/>
        <w:gridCol w:w="1814"/>
        <w:gridCol w:w="1814"/>
        <w:gridCol w:w="3005"/>
      </w:tblGrid>
      <w:tr>
        <w:trPr>
          <w:tblHeader w:val="true"/>
          <w:cantSplit/>
        </w:trPr>
        <w:tc>
          <w:tcPr>
            <w:tcW w:type="dxa" w:w="2408"/>
            <w:shd w:fill="17365D"/>
          </w:tcPr>
          <w:p>
            <w:r>
              <w:rPr>
                <w:rFonts w:ascii="Noto Sans CJK SC" w:hAnsi="Noto Sans CJK SC" w:eastAsia="Noto Sans CJK SC"/>
                <w:b/>
                <w:color w:val="FFFFFF"/>
                <w:sz w:val="18"/>
              </w:rPr>
              <w:t>指标</w:t>
            </w:r>
          </w:p>
        </w:tc>
        <w:tc>
          <w:tcPr>
            <w:tcW w:type="dxa" w:w="2408"/>
            <w:shd w:fill="17365D"/>
          </w:tcPr>
          <w:p>
            <w:r>
              <w:rPr>
                <w:rFonts w:ascii="Noto Sans CJK SC" w:hAnsi="Noto Sans CJK SC" w:eastAsia="Noto Sans CJK SC"/>
                <w:b/>
                <w:color w:val="FFFFFF"/>
                <w:sz w:val="18"/>
              </w:rPr>
              <w:t>2024实际</w:t>
            </w:r>
          </w:p>
        </w:tc>
        <w:tc>
          <w:tcPr>
            <w:tcW w:type="dxa" w:w="2408"/>
            <w:shd w:fill="17365D"/>
          </w:tcPr>
          <w:p>
            <w:r>
              <w:rPr>
                <w:rFonts w:ascii="Noto Sans CJK SC" w:hAnsi="Noto Sans CJK SC" w:eastAsia="Noto Sans CJK SC"/>
                <w:b/>
                <w:color w:val="FFFFFF"/>
                <w:sz w:val="18"/>
              </w:rPr>
              <w:t>变化</w:t>
            </w:r>
          </w:p>
        </w:tc>
        <w:tc>
          <w:tcPr>
            <w:tcW w:type="dxa" w:w="2408"/>
            <w:shd w:fill="17365D"/>
          </w:tcPr>
          <w:p>
            <w:r>
              <w:rPr>
                <w:rFonts w:ascii="Noto Sans CJK SC" w:hAnsi="Noto Sans CJK SC" w:eastAsia="Noto Sans CJK SC"/>
                <w:b/>
                <w:color w:val="FFFFFF"/>
                <w:sz w:val="18"/>
              </w:rPr>
              <w:t>观察</w:t>
            </w:r>
          </w:p>
        </w:tc>
      </w:tr>
      <w:tr>
        <w:trPr>
          <w:cantSplit/>
        </w:trPr>
        <w:tc>
          <w:tcPr>
            <w:tcW w:type="dxa" w:w="2494"/>
            <w:tcMar>
              <w:top w:w="90" w:type="dxa"/>
              <w:start w:w="110" w:type="dxa"/>
              <w:bottom w:w="90" w:type="dxa"/>
              <w:end w:w="110" w:type="dxa"/>
            </w:tcMar>
          </w:tcPr>
          <w:p>
            <w:r>
              <w:rPr>
                <w:rFonts w:ascii="Noto Sans CJK SC" w:hAnsi="Noto Sans CJK SC" w:eastAsia="Noto Sans CJK SC"/>
                <w:b/>
                <w:sz w:val="18"/>
              </w:rPr>
              <w:t>规模以上工业增加值</w:t>
            </w:r>
          </w:p>
        </w:tc>
        <w:tc>
          <w:tcPr>
            <w:tcW w:type="dxa" w:w="1814"/>
            <w:tcMar>
              <w:top w:w="90" w:type="dxa"/>
              <w:start w:w="110" w:type="dxa"/>
              <w:bottom w:w="90" w:type="dxa"/>
              <w:end w:w="110" w:type="dxa"/>
            </w:tcMar>
          </w:tcPr>
          <w:p>
            <w:r>
              <w:rPr>
                <w:rFonts w:ascii="Noto Sans CJK SC" w:hAnsi="Noto Sans CJK SC" w:eastAsia="Noto Sans CJK SC"/>
                <w:b w:val="0"/>
                <w:sz w:val="18"/>
              </w:rPr>
              <w:t>4409亿元</w:t>
            </w:r>
          </w:p>
        </w:tc>
        <w:tc>
          <w:tcPr>
            <w:tcW w:type="dxa" w:w="1814"/>
            <w:tcMar>
              <w:top w:w="90" w:type="dxa"/>
              <w:start w:w="110" w:type="dxa"/>
              <w:bottom w:w="90" w:type="dxa"/>
              <w:end w:w="110" w:type="dxa"/>
            </w:tcMar>
          </w:tcPr>
          <w:p>
            <w:r>
              <w:rPr>
                <w:rFonts w:ascii="Noto Sans CJK SC" w:hAnsi="Noto Sans CJK SC" w:eastAsia="Noto Sans CJK SC"/>
                <w:b w:val="0"/>
                <w:sz w:val="18"/>
              </w:rPr>
              <w:t>+4.0%</w:t>
            </w:r>
          </w:p>
        </w:tc>
        <w:tc>
          <w:tcPr>
            <w:tcW w:type="dxa" w:w="3005"/>
            <w:tcMar>
              <w:top w:w="90" w:type="dxa"/>
              <w:start w:w="110" w:type="dxa"/>
              <w:bottom w:w="90" w:type="dxa"/>
              <w:end w:w="110" w:type="dxa"/>
            </w:tcMar>
          </w:tcPr>
          <w:p>
            <w:r>
              <w:rPr>
                <w:rFonts w:ascii="Noto Sans CJK SC" w:hAnsi="Noto Sans CJK SC" w:eastAsia="Noto Sans CJK SC"/>
                <w:b w:val="0"/>
                <w:sz w:val="18"/>
              </w:rPr>
              <w:t>工业仍增长，但需要更强的新产业拉动。</w:t>
            </w:r>
          </w:p>
        </w:tc>
      </w:tr>
      <w:tr>
        <w:trPr>
          <w:cantSplit/>
        </w:trPr>
        <w:tc>
          <w:tcPr>
            <w:tcW w:type="dxa" w:w="2494"/>
            <w:tcMar>
              <w:top w:w="90" w:type="dxa"/>
              <w:start w:w="110" w:type="dxa"/>
              <w:bottom w:w="90" w:type="dxa"/>
              <w:end w:w="110" w:type="dxa"/>
            </w:tcMar>
          </w:tcPr>
          <w:p>
            <w:r>
              <w:rPr>
                <w:rFonts w:ascii="Noto Sans CJK SC" w:hAnsi="Noto Sans CJK SC" w:eastAsia="Noto Sans CJK SC"/>
                <w:b/>
                <w:sz w:val="18"/>
              </w:rPr>
              <w:t>社会消费品零售总额</w:t>
            </w:r>
          </w:p>
        </w:tc>
        <w:tc>
          <w:tcPr>
            <w:tcW w:type="dxa" w:w="1814"/>
            <w:tcMar>
              <w:top w:w="90" w:type="dxa"/>
              <w:start w:w="110" w:type="dxa"/>
              <w:bottom w:w="90" w:type="dxa"/>
              <w:end w:w="110" w:type="dxa"/>
            </w:tcMar>
          </w:tcPr>
          <w:p>
            <w:r>
              <w:rPr>
                <w:rFonts w:ascii="Noto Sans CJK SC" w:hAnsi="Noto Sans CJK SC" w:eastAsia="Noto Sans CJK SC"/>
                <w:b w:val="0"/>
                <w:sz w:val="18"/>
              </w:rPr>
              <w:t>7884亿元</w:t>
            </w:r>
          </w:p>
        </w:tc>
        <w:tc>
          <w:tcPr>
            <w:tcW w:type="dxa" w:w="1814"/>
            <w:tcMar>
              <w:top w:w="90" w:type="dxa"/>
              <w:start w:w="110" w:type="dxa"/>
              <w:bottom w:w="90" w:type="dxa"/>
              <w:end w:w="110" w:type="dxa"/>
            </w:tcMar>
          </w:tcPr>
          <w:p>
            <w:r>
              <w:rPr>
                <w:rFonts w:ascii="Noto Sans CJK SC" w:hAnsi="Noto Sans CJK SC" w:eastAsia="Noto Sans CJK SC"/>
                <w:b w:val="0"/>
                <w:sz w:val="18"/>
              </w:rPr>
              <w:t>+2.8%</w:t>
            </w:r>
          </w:p>
        </w:tc>
        <w:tc>
          <w:tcPr>
            <w:tcW w:type="dxa" w:w="3005"/>
            <w:tcMar>
              <w:top w:w="90" w:type="dxa"/>
              <w:start w:w="110" w:type="dxa"/>
              <w:bottom w:w="90" w:type="dxa"/>
              <w:end w:w="110" w:type="dxa"/>
            </w:tcMar>
          </w:tcPr>
          <w:p>
            <w:r>
              <w:rPr>
                <w:rFonts w:ascii="Noto Sans CJK SC" w:hAnsi="Noto Sans CJK SC" w:eastAsia="Noto Sans CJK SC"/>
                <w:b w:val="0"/>
                <w:sz w:val="18"/>
              </w:rPr>
              <w:t>消费修复偏温和。</w:t>
            </w:r>
          </w:p>
        </w:tc>
      </w:tr>
      <w:tr>
        <w:trPr>
          <w:cantSplit/>
        </w:trPr>
        <w:tc>
          <w:tcPr>
            <w:tcW w:type="dxa" w:w="2494"/>
            <w:tcMar>
              <w:top w:w="90" w:type="dxa"/>
              <w:start w:w="110" w:type="dxa"/>
              <w:bottom w:w="90" w:type="dxa"/>
              <w:end w:w="110" w:type="dxa"/>
            </w:tcMar>
          </w:tcPr>
          <w:p>
            <w:r>
              <w:rPr>
                <w:rFonts w:ascii="Noto Sans CJK SC" w:hAnsi="Noto Sans CJK SC" w:eastAsia="Noto Sans CJK SC"/>
                <w:b/>
                <w:sz w:val="18"/>
              </w:rPr>
              <w:t>固定资产投资</w:t>
            </w:r>
          </w:p>
        </w:tc>
        <w:tc>
          <w:tcPr>
            <w:tcW w:type="dxa" w:w="1814"/>
            <w:tcMar>
              <w:top w:w="90" w:type="dxa"/>
              <w:start w:w="110" w:type="dxa"/>
              <w:bottom w:w="90" w:type="dxa"/>
              <w:end w:w="110" w:type="dxa"/>
            </w:tcMar>
          </w:tcPr>
          <w:p>
            <w:r>
              <w:rPr>
                <w:rFonts w:ascii="Noto Sans CJK SC" w:hAnsi="Noto Sans CJK SC" w:eastAsia="Noto Sans CJK SC"/>
                <w:b w:val="0"/>
                <w:sz w:val="18"/>
              </w:rPr>
              <w:t>—</w:t>
            </w:r>
          </w:p>
        </w:tc>
        <w:tc>
          <w:tcPr>
            <w:tcW w:type="dxa" w:w="1814"/>
            <w:tcMar>
              <w:top w:w="90" w:type="dxa"/>
              <w:start w:w="110" w:type="dxa"/>
              <w:bottom w:w="90" w:type="dxa"/>
              <w:end w:w="110" w:type="dxa"/>
            </w:tcMar>
          </w:tcPr>
          <w:p>
            <w:r>
              <w:rPr>
                <w:rFonts w:ascii="Noto Sans CJK SC" w:hAnsi="Noto Sans CJK SC" w:eastAsia="Noto Sans CJK SC"/>
                <w:b w:val="0"/>
                <w:sz w:val="18"/>
              </w:rPr>
              <w:t>-2.9%</w:t>
            </w:r>
          </w:p>
        </w:tc>
        <w:tc>
          <w:tcPr>
            <w:tcW w:type="dxa" w:w="3005"/>
            <w:tcMar>
              <w:top w:w="90" w:type="dxa"/>
              <w:start w:w="110" w:type="dxa"/>
              <w:bottom w:w="90" w:type="dxa"/>
              <w:end w:w="110" w:type="dxa"/>
            </w:tcMar>
          </w:tcPr>
          <w:p>
            <w:r>
              <w:rPr>
                <w:rFonts w:ascii="Noto Sans CJK SC" w:hAnsi="Noto Sans CJK SC" w:eastAsia="Noto Sans CJK SC"/>
                <w:b w:val="0"/>
                <w:sz w:val="18"/>
              </w:rPr>
              <w:t>传统投资发动机已经明显走弱。</w:t>
            </w:r>
          </w:p>
        </w:tc>
      </w:tr>
      <w:tr>
        <w:trPr>
          <w:cantSplit/>
        </w:trPr>
        <w:tc>
          <w:tcPr>
            <w:tcW w:type="dxa" w:w="2494"/>
            <w:tcMar>
              <w:top w:w="90" w:type="dxa"/>
              <w:start w:w="110" w:type="dxa"/>
              <w:bottom w:w="90" w:type="dxa"/>
              <w:end w:w="110" w:type="dxa"/>
            </w:tcMar>
          </w:tcPr>
          <w:p>
            <w:r>
              <w:rPr>
                <w:rFonts w:ascii="Noto Sans CJK SC" w:hAnsi="Noto Sans CJK SC" w:eastAsia="Noto Sans CJK SC"/>
                <w:b/>
                <w:sz w:val="18"/>
              </w:rPr>
              <w:t>工业投资</w:t>
            </w:r>
          </w:p>
        </w:tc>
        <w:tc>
          <w:tcPr>
            <w:tcW w:type="dxa" w:w="1814"/>
            <w:tcMar>
              <w:top w:w="90" w:type="dxa"/>
              <w:start w:w="110" w:type="dxa"/>
              <w:bottom w:w="90" w:type="dxa"/>
              <w:end w:w="110" w:type="dxa"/>
            </w:tcMar>
          </w:tcPr>
          <w:p>
            <w:r>
              <w:rPr>
                <w:rFonts w:ascii="Noto Sans CJK SC" w:hAnsi="Noto Sans CJK SC" w:eastAsia="Noto Sans CJK SC"/>
                <w:b w:val="0"/>
                <w:sz w:val="18"/>
              </w:rPr>
              <w:t>—</w:t>
            </w:r>
          </w:p>
        </w:tc>
        <w:tc>
          <w:tcPr>
            <w:tcW w:type="dxa" w:w="1814"/>
            <w:tcMar>
              <w:top w:w="90" w:type="dxa"/>
              <w:start w:w="110" w:type="dxa"/>
              <w:bottom w:w="90" w:type="dxa"/>
              <w:end w:w="110" w:type="dxa"/>
            </w:tcMar>
          </w:tcPr>
          <w:p>
            <w:r>
              <w:rPr>
                <w:rFonts w:ascii="Noto Sans CJK SC" w:hAnsi="Noto Sans CJK SC" w:eastAsia="Noto Sans CJK SC"/>
                <w:b w:val="0"/>
                <w:sz w:val="18"/>
              </w:rPr>
              <w:t>+1.9%</w:t>
            </w:r>
          </w:p>
        </w:tc>
        <w:tc>
          <w:tcPr>
            <w:tcW w:type="dxa" w:w="3005"/>
            <w:tcMar>
              <w:top w:w="90" w:type="dxa"/>
              <w:start w:w="110" w:type="dxa"/>
              <w:bottom w:w="90" w:type="dxa"/>
              <w:end w:w="110" w:type="dxa"/>
            </w:tcMar>
          </w:tcPr>
          <w:p>
            <w:r>
              <w:rPr>
                <w:rFonts w:ascii="Noto Sans CJK SC" w:hAnsi="Noto Sans CJK SC" w:eastAsia="Noto Sans CJK SC"/>
                <w:b w:val="0"/>
                <w:sz w:val="18"/>
              </w:rPr>
              <w:t>工业投资尚未形成足够对冲。</w:t>
            </w:r>
          </w:p>
        </w:tc>
      </w:tr>
      <w:tr>
        <w:trPr>
          <w:cantSplit/>
        </w:trPr>
        <w:tc>
          <w:tcPr>
            <w:tcW w:type="dxa" w:w="2494"/>
            <w:tcMar>
              <w:top w:w="90" w:type="dxa"/>
              <w:start w:w="110" w:type="dxa"/>
              <w:bottom w:w="90" w:type="dxa"/>
              <w:end w:w="110" w:type="dxa"/>
            </w:tcMar>
          </w:tcPr>
          <w:p>
            <w:r>
              <w:rPr>
                <w:rFonts w:ascii="Noto Sans CJK SC" w:hAnsi="Noto Sans CJK SC" w:eastAsia="Noto Sans CJK SC"/>
                <w:b/>
                <w:sz w:val="18"/>
              </w:rPr>
              <w:t>实际利用外资</w:t>
            </w:r>
          </w:p>
        </w:tc>
        <w:tc>
          <w:tcPr>
            <w:tcW w:type="dxa" w:w="1814"/>
            <w:tcMar>
              <w:top w:w="90" w:type="dxa"/>
              <w:start w:w="110" w:type="dxa"/>
              <w:bottom w:w="90" w:type="dxa"/>
              <w:end w:w="110" w:type="dxa"/>
            </w:tcMar>
          </w:tcPr>
          <w:p>
            <w:r>
              <w:rPr>
                <w:rFonts w:ascii="Noto Sans CJK SC" w:hAnsi="Noto Sans CJK SC" w:eastAsia="Noto Sans CJK SC"/>
                <w:b w:val="0"/>
                <w:sz w:val="18"/>
              </w:rPr>
              <w:t>65.4亿美元</w:t>
            </w:r>
          </w:p>
        </w:tc>
        <w:tc>
          <w:tcPr>
            <w:tcW w:type="dxa" w:w="1814"/>
            <w:tcMar>
              <w:top w:w="90" w:type="dxa"/>
              <w:start w:w="110" w:type="dxa"/>
              <w:bottom w:w="90" w:type="dxa"/>
              <w:end w:w="110" w:type="dxa"/>
            </w:tcMar>
          </w:tcPr>
          <w:p>
            <w:r>
              <w:rPr>
                <w:rFonts w:ascii="Noto Sans CJK SC" w:hAnsi="Noto Sans CJK SC" w:eastAsia="Noto Sans CJK SC"/>
                <w:b w:val="0"/>
                <w:sz w:val="18"/>
              </w:rPr>
              <w:t>-25.9%</w:t>
            </w:r>
          </w:p>
        </w:tc>
        <w:tc>
          <w:tcPr>
            <w:tcW w:type="dxa" w:w="3005"/>
            <w:tcMar>
              <w:top w:w="90" w:type="dxa"/>
              <w:start w:w="110" w:type="dxa"/>
              <w:bottom w:w="90" w:type="dxa"/>
              <w:end w:w="110" w:type="dxa"/>
            </w:tcMar>
          </w:tcPr>
          <w:p>
            <w:r>
              <w:rPr>
                <w:rFonts w:ascii="Noto Sans CJK SC" w:hAnsi="Noto Sans CJK SC" w:eastAsia="Noto Sans CJK SC"/>
                <w:b w:val="0"/>
                <w:sz w:val="18"/>
              </w:rPr>
              <w:t>外资吸引出现压力。</w:t>
            </w:r>
          </w:p>
        </w:tc>
      </w:tr>
      <w:tr>
        <w:trPr>
          <w:cantSplit/>
        </w:trPr>
        <w:tc>
          <w:tcPr>
            <w:tcW w:type="dxa" w:w="2494"/>
            <w:tcMar>
              <w:top w:w="90" w:type="dxa"/>
              <w:start w:w="110" w:type="dxa"/>
              <w:bottom w:w="90" w:type="dxa"/>
              <w:end w:w="110" w:type="dxa"/>
            </w:tcMar>
          </w:tcPr>
          <w:p>
            <w:r>
              <w:rPr>
                <w:rFonts w:ascii="Noto Sans CJK SC" w:hAnsi="Noto Sans CJK SC" w:eastAsia="Noto Sans CJK SC"/>
                <w:b/>
                <w:sz w:val="18"/>
              </w:rPr>
              <w:t>货物出口</w:t>
            </w:r>
          </w:p>
        </w:tc>
        <w:tc>
          <w:tcPr>
            <w:tcW w:type="dxa" w:w="1814"/>
            <w:tcMar>
              <w:top w:w="90" w:type="dxa"/>
              <w:start w:w="110" w:type="dxa"/>
              <w:bottom w:w="90" w:type="dxa"/>
              <w:end w:w="110" w:type="dxa"/>
            </w:tcMar>
          </w:tcPr>
          <w:p>
            <w:r>
              <w:rPr>
                <w:rFonts w:ascii="Noto Sans CJK SC" w:hAnsi="Noto Sans CJK SC" w:eastAsia="Noto Sans CJK SC"/>
                <w:b w:val="0"/>
                <w:sz w:val="18"/>
              </w:rPr>
              <w:t>5950亿元</w:t>
            </w:r>
          </w:p>
        </w:tc>
        <w:tc>
          <w:tcPr>
            <w:tcW w:type="dxa" w:w="1814"/>
            <w:tcMar>
              <w:top w:w="90" w:type="dxa"/>
              <w:start w:w="110" w:type="dxa"/>
              <w:bottom w:w="90" w:type="dxa"/>
              <w:end w:w="110" w:type="dxa"/>
            </w:tcMar>
          </w:tcPr>
          <w:p>
            <w:r>
              <w:rPr>
                <w:rFonts w:ascii="Noto Sans CJK SC" w:hAnsi="Noto Sans CJK SC" w:eastAsia="Noto Sans CJK SC"/>
                <w:b w:val="0"/>
                <w:sz w:val="18"/>
              </w:rPr>
              <w:t>+11.5%</w:t>
            </w:r>
          </w:p>
        </w:tc>
        <w:tc>
          <w:tcPr>
            <w:tcW w:type="dxa" w:w="3005"/>
            <w:tcMar>
              <w:top w:w="90" w:type="dxa"/>
              <w:start w:w="110" w:type="dxa"/>
              <w:bottom w:w="90" w:type="dxa"/>
              <w:end w:w="110" w:type="dxa"/>
            </w:tcMar>
          </w:tcPr>
          <w:p>
            <w:r>
              <w:rPr>
                <w:rFonts w:ascii="Noto Sans CJK SC" w:hAnsi="Noto Sans CJK SC" w:eastAsia="Noto Sans CJK SC"/>
                <w:b w:val="0"/>
                <w:sz w:val="18"/>
              </w:rPr>
              <w:t>外需和杭州企业全球竞争力仍是强项。</w:t>
            </w:r>
          </w:p>
        </w:tc>
      </w:tr>
    </w:tbl>
    <w:p>
      <w:pPr>
        <w:spacing w:before="0" w:after="100"/>
      </w:pPr>
      <w:r>
        <w:rPr>
          <w:rFonts w:ascii="Noto Sans CJK SC" w:hAnsi="Noto Sans CJK SC" w:eastAsia="Noto Sans CJK SC"/>
          <w:color w:val="69717D"/>
          <w:sz w:val="17"/>
        </w:rPr>
        <w:t>资料依据：[2]</w:t>
      </w:r>
    </w:p>
    <w:tbl>
      <w:tblPr>
        <w:tblW w:type="auto" w:w="0"/>
        <w:jc w:val="center"/>
        <w:tblLayout w:type="fixed"/>
        <w:tblLook w:firstColumn="1" w:firstRow="1" w:lastColumn="0" w:lastRow="0" w:noHBand="0" w:noVBand="1" w:val="04A0"/>
      </w:tblPr>
      <w:tblGrid>
        <w:gridCol w:w="9241"/>
      </w:tblGrid>
      <w:tr>
        <w:trPr>
          <w:tblHeader w:val="true"/>
          <w:cantSplit/>
        </w:trPr>
        <w:tc>
          <w:tcPr>
            <w:tcW w:type="dxa" w:w="9632"/>
            <w:shd w:fill="EEF4FF"/>
            <w:tcMar>
              <w:top w:w="130" w:type="dxa"/>
              <w:start w:w="180" w:type="dxa"/>
              <w:bottom w:w="130" w:type="dxa"/>
              <w:end w:w="180" w:type="dxa"/>
            </w:tcMar>
          </w:tcPr>
          <w:p>
            <w:pPr>
              <w:spacing w:after="80"/>
            </w:pPr>
            <w:r>
              <w:rPr>
                <w:rFonts w:ascii="Noto Sans CJK SC" w:hAnsi="Noto Sans CJK SC" w:eastAsia="Noto Sans CJK SC"/>
                <w:b/>
                <w:color w:val="275DAD"/>
                <w:sz w:val="22"/>
              </w:rPr>
              <w:t>核心矛盾</w:t>
            </w:r>
          </w:p>
          <w:p>
            <w:pPr>
              <w:spacing w:line="324" w:lineRule="auto" w:after="0"/>
            </w:pPr>
            <w:r>
              <w:rPr>
                <w:rFonts w:ascii="Noto Sans CJK SC" w:hAnsi="Noto Sans CJK SC" w:eastAsia="Noto Sans CJK SC"/>
                <w:sz w:val="21"/>
              </w:rPr>
              <w:t>杭州不是“没有增长点”，而是需要回答一个更难的问题：当房地产、土地开发和传统固定投资不再像过去那样强劲时，新经济能否从“高估值、高关注度”变成“高产值、高投资、高就业、高税源”？</w:t>
            </w:r>
          </w:p>
        </w:tc>
      </w:tr>
    </w:tbl>
    <w:p>
      <w:pPr>
        <w:spacing w:after="0"/>
      </w:pPr>
    </w:p>
    <w:p>
      <w:bookmarkStart w:id="4" w:name="detail1"/>
      <w:pPr>
        <w:pStyle w:val="Heading1"/>
      </w:pPr>
      <w:r>
        <w:t>三、容易被忽视的细节（一）：报告的时间异常重要</w:t>
      </w:r>
      <w:bookmarkEnd w:id="4"/>
    </w:p>
    <w:p>
      <w:pPr>
        <w:spacing w:after="100" w:line="348" w:lineRule="auto"/>
      </w:pPr>
      <w:r>
        <w:rPr>
          <w:rFonts w:ascii="Noto Sans CJK SC" w:hAnsi="Noto Sans CJK SC" w:eastAsia="Noto Sans CJK SC"/>
        </w:rPr>
        <w:t>2025年杭州市政府工作报告在5月22日提交市十四届人大五次会议。与常见的年初工作报告相比，这意味着报告已经包含了四个多月的现实反馈。原文直接写到“一季度地区生产总值增长5.2%”，并提及“4月应对关税战”。</w:t>
      </w:r>
    </w:p>
    <w:p>
      <w:pPr>
        <w:spacing w:after="100" w:line="348" w:lineRule="auto"/>
      </w:pPr>
      <w:r>
        <w:rPr>
          <w:rFonts w:ascii="Noto Sans CJK SC" w:hAnsi="Noto Sans CJK SC" w:eastAsia="Noto Sans CJK SC"/>
        </w:rPr>
        <w:t>因此，报告中“更大力度”“应争尽争、能多则多”“应出尽出、能早则早”等政策语言，更适合被理解为已知现实压力后的加码，而不是年初尚未经历验证的愿望清单。</w:t>
      </w:r>
    </w:p>
    <w:tbl>
      <w:tblPr>
        <w:tblW w:type="auto" w:w="0"/>
        <w:jc w:val="center"/>
        <w:tblLayout w:type="fixed"/>
        <w:tblLook w:firstColumn="1" w:firstRow="1" w:lastColumn="0" w:lastRow="0" w:noHBand="0" w:noVBand="1" w:val="04A0"/>
      </w:tblPr>
      <w:tblGrid>
        <w:gridCol w:w="9241"/>
      </w:tblGrid>
      <w:tr>
        <w:trPr>
          <w:tblHeader w:val="true"/>
          <w:cantSplit/>
        </w:trPr>
        <w:tc>
          <w:tcPr>
            <w:tcW w:type="dxa" w:w="9632"/>
            <w:shd w:fill="EEF4FF"/>
            <w:tcMar>
              <w:top w:w="130" w:type="dxa"/>
              <w:start w:w="180" w:type="dxa"/>
              <w:bottom w:w="130" w:type="dxa"/>
              <w:end w:w="180" w:type="dxa"/>
            </w:tcMar>
          </w:tcPr>
          <w:p>
            <w:pPr>
              <w:spacing w:after="80"/>
            </w:pPr>
            <w:r>
              <w:rPr>
                <w:rFonts w:ascii="Noto Sans CJK SC" w:hAnsi="Noto Sans CJK SC" w:eastAsia="Noto Sans CJK SC"/>
                <w:b/>
                <w:color w:val="275DAD"/>
                <w:sz w:val="22"/>
              </w:rPr>
              <w:t>为什么这很重要</w:t>
            </w:r>
          </w:p>
          <w:p>
            <w:pPr>
              <w:spacing w:line="324" w:lineRule="auto" w:after="0"/>
            </w:pPr>
            <w:r>
              <w:rPr>
                <w:rFonts w:ascii="Noto Sans CJK SC" w:hAnsi="Noto Sans CJK SC" w:eastAsia="Noto Sans CJK SC"/>
                <w:sz w:val="21"/>
              </w:rPr>
              <w:t>同一句“扩大投资”，如果出现在1月，是年度计划；如果出现在5月、且已经知道前四个月投资和外部贸易环境变化，就具有更强的“纠偏”色彩。读报告时必须把政策语言放回时间坐标。</w:t>
            </w:r>
          </w:p>
        </w:tc>
      </w:tr>
    </w:tbl>
    <w:p>
      <w:pPr>
        <w:spacing w:after="0"/>
      </w:pPr>
    </w:p>
    <w:p>
      <w:pPr>
        <w:spacing w:before="0" w:after="100"/>
      </w:pPr>
      <w:r>
        <w:rPr>
          <w:rFonts w:ascii="Noto Sans CJK SC" w:hAnsi="Noto Sans CJK SC" w:eastAsia="Noto Sans CJK SC"/>
          <w:color w:val="69717D"/>
          <w:sz w:val="17"/>
        </w:rPr>
        <w:t>资料依据：[1]、[8]</w:t>
      </w:r>
    </w:p>
    <w:p>
      <w:bookmarkStart w:id="5" w:name="detail2"/>
      <w:pPr>
        <w:pStyle w:val="Heading1"/>
      </w:pPr>
      <w:r>
        <w:t>四、容易被忽视的细节（二）：“万亿产业、千亿企业、百亿项目”才是产业焦虑</w:t>
      </w:r>
      <w:bookmarkEnd w:id="5"/>
    </w:p>
    <w:p>
      <w:pPr>
        <w:spacing w:after="100" w:line="348" w:lineRule="auto"/>
      </w:pPr>
      <w:r>
        <w:rPr>
          <w:rFonts w:ascii="Noto Sans CJK SC" w:hAnsi="Noto Sans CJK SC" w:eastAsia="Noto Sans CJK SC"/>
        </w:rPr>
        <w:t>报告在“挑战和问题”部分明确写道：“万亿产业、千亿企业、百亿项目数量相对偏少”。这句话比“发展人工智能”更值得研究，因为它直接描述了杭州产业结构中政府认为不足的部分。</w:t>
      </w:r>
    </w:p>
    <w:p>
      <w:pPr>
        <w:spacing w:after="100" w:line="348" w:lineRule="auto"/>
      </w:pPr>
      <w:r>
        <w:rPr>
          <w:rFonts w:ascii="Noto Sans CJK SC" w:hAnsi="Noto Sans CJK SC" w:eastAsia="Noto Sans CJK SC"/>
        </w:rPr>
        <w:t>杭州的创新密度、数字服务能力、民营创业活力非常强，但城市要获得更稳定的工业产值、资本开支、上下游就业和地方税源，往往还需要更大体量的产业链、龙头企业和实体项目。换言之，杭州的关键任务不是证明“能不能产生明星公司”，而是证明“能不能把创新组织成大产业”。</w:t>
      </w:r>
    </w:p>
    <w:p>
      <w:pPr>
        <w:pStyle w:val="ListBullet"/>
        <w:spacing w:after="40" w:line="324" w:lineRule="auto"/>
      </w:pPr>
      <w:r>
        <w:rPr>
          <w:rFonts w:ascii="Noto Sans CJK SC" w:hAnsi="Noto Sans CJK SC" w:eastAsia="Noto Sans CJK SC"/>
        </w:rPr>
        <w:t>“万亿产业”对应产业链厚度：供应链、龙头企业、配套企业和长期产值。</w:t>
      </w:r>
    </w:p>
    <w:p>
      <w:pPr>
        <w:pStyle w:val="ListBullet"/>
        <w:spacing w:after="40" w:line="324" w:lineRule="auto"/>
      </w:pPr>
      <w:r>
        <w:rPr>
          <w:rFonts w:ascii="Noto Sans CJK SC" w:hAnsi="Noto Sans CJK SC" w:eastAsia="Noto Sans CJK SC"/>
        </w:rPr>
        <w:t>“千亿企业”对应组织规模与总部能力：研发、资本、采购、销售和全球网络。</w:t>
      </w:r>
    </w:p>
    <w:p>
      <w:pPr>
        <w:pStyle w:val="ListBullet"/>
        <w:spacing w:after="40" w:line="324" w:lineRule="auto"/>
      </w:pPr>
      <w:r>
        <w:rPr>
          <w:rFonts w:ascii="Noto Sans CJK SC" w:hAnsi="Noto Sans CJK SC" w:eastAsia="Noto Sans CJK SC"/>
        </w:rPr>
        <w:t>“百亿项目”对应固定资产与产业落地：厂房、设备、平台和长期资本开支。</w:t>
      </w:r>
    </w:p>
    <w:tbl>
      <w:tblPr>
        <w:tblW w:type="auto" w:w="0"/>
        <w:jc w:val="center"/>
        <w:tblLayout w:type="fixed"/>
        <w:tblLook w:firstColumn="1" w:firstRow="1" w:lastColumn="0" w:lastRow="0" w:noHBand="0" w:noVBand="1" w:val="04A0"/>
      </w:tblPr>
      <w:tblGrid>
        <w:gridCol w:w="9241"/>
      </w:tblGrid>
      <w:tr>
        <w:trPr>
          <w:tblHeader w:val="true"/>
          <w:cantSplit/>
        </w:trPr>
        <w:tc>
          <w:tcPr>
            <w:tcW w:type="dxa" w:w="9632"/>
            <w:shd w:fill="EEF4FF"/>
            <w:tcMar>
              <w:top w:w="130" w:type="dxa"/>
              <w:start w:w="180" w:type="dxa"/>
              <w:bottom w:w="130" w:type="dxa"/>
              <w:end w:w="180" w:type="dxa"/>
            </w:tcMar>
          </w:tcPr>
          <w:p>
            <w:pPr>
              <w:spacing w:after="80"/>
            </w:pPr>
            <w:r>
              <w:rPr>
                <w:rFonts w:ascii="Noto Sans CJK SC" w:hAnsi="Noto Sans CJK SC" w:eastAsia="Noto Sans CJK SC"/>
                <w:b/>
                <w:color w:val="275DAD"/>
                <w:sz w:val="22"/>
              </w:rPr>
              <w:t>深层含义</w:t>
            </w:r>
          </w:p>
          <w:p>
            <w:pPr>
              <w:spacing w:line="324" w:lineRule="auto" w:after="0"/>
            </w:pPr>
            <w:r>
              <w:rPr>
                <w:rFonts w:ascii="Noto Sans CJK SC" w:hAnsi="Noto Sans CJK SC" w:eastAsia="Noto Sans CJK SC"/>
                <w:sz w:val="21"/>
              </w:rPr>
              <w:t>这套表述实际上把杭州的产业目标从“创新数量”提高到“产业组织能力”。城市竞争不只比谁有更多创业公司，也比谁能让创新变成稳定的大规模生产系统。</w:t>
            </w:r>
          </w:p>
        </w:tc>
      </w:tr>
    </w:tbl>
    <w:p>
      <w:pPr>
        <w:spacing w:after="0"/>
      </w:pPr>
    </w:p>
    <w:p>
      <w:pPr>
        <w:spacing w:before="0" w:after="100"/>
      </w:pPr>
      <w:r>
        <w:rPr>
          <w:rFonts w:ascii="Noto Sans CJK SC" w:hAnsi="Noto Sans CJK SC" w:eastAsia="Noto Sans CJK SC"/>
          <w:color w:val="69717D"/>
          <w:sz w:val="17"/>
        </w:rPr>
        <w:t>资料依据：[1]</w:t>
      </w:r>
    </w:p>
    <w:p>
      <w:bookmarkStart w:id="6" w:name="detail3"/>
      <w:pPr>
        <w:pStyle w:val="Heading1"/>
      </w:pPr>
      <w:r>
        <w:t>五、容易被忽视的细节（三）：杭州正在做一轮“再工业化”</w:t>
      </w:r>
      <w:bookmarkEnd w:id="6"/>
    </w:p>
    <w:p>
      <w:pPr>
        <w:spacing w:after="100" w:line="348" w:lineRule="auto"/>
      </w:pPr>
      <w:r>
        <w:rPr>
          <w:rFonts w:ascii="Noto Sans CJK SC" w:hAnsi="Noto Sans CJK SC" w:eastAsia="Noto Sans CJK SC"/>
        </w:rPr>
        <w:t>“再工业化”不是说杭州重新回到传统重工业，而是指城市把更多稀缺资源重新配置给先进制造业。报告给出的组合非常具体：力争制造业投资增长10%、占全部投资15%以上；供应工业用地1万亩；提供“工业上楼”空间250万平方米；低效用地再开发4万亩；新增规上工业企业500家以上。</w:t>
      </w:r>
    </w:p>
    <w:p>
      <w:pPr>
        <w:spacing w:after="100" w:line="348" w:lineRule="auto"/>
      </w:pPr>
      <w:r>
        <w:rPr>
          <w:rFonts w:ascii="Noto Sans CJK SC" w:hAnsi="Noto Sans CJK SC" w:eastAsia="Noto Sans CJK SC"/>
        </w:rPr>
        <w:t>这些指标的重要性在于：工业土地和空间属于城市最稀缺的资源之一。一个城市愿意持续拿出工业用地，往往意味着它接受工业项目短期土地收益可能不如房地产，但希望换取长期产业、就业、供应链和税收。</w:t>
      </w:r>
    </w:p>
    <w:p>
      <w:pPr>
        <w:pStyle w:val="Heading2"/>
      </w:pPr>
      <w:r>
        <w:t>资源重配信号</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835"/>
        <w:gridCol w:w="2268"/>
        <w:gridCol w:w="3969"/>
      </w:tblGrid>
      <w:tr>
        <w:trPr>
          <w:tblHeader w:val="true"/>
          <w:cantSplit/>
        </w:trPr>
        <w:tc>
          <w:tcPr>
            <w:tcW w:type="dxa" w:w="3211"/>
            <w:shd w:fill="275DAD"/>
          </w:tcPr>
          <w:p>
            <w:r>
              <w:rPr>
                <w:rFonts w:ascii="Noto Sans CJK SC" w:hAnsi="Noto Sans CJK SC" w:eastAsia="Noto Sans CJK SC"/>
                <w:b/>
                <w:color w:val="FFFFFF"/>
                <w:sz w:val="18"/>
              </w:rPr>
              <w:t>政策指标</w:t>
            </w:r>
          </w:p>
        </w:tc>
        <w:tc>
          <w:tcPr>
            <w:tcW w:type="dxa" w:w="3211"/>
            <w:shd w:fill="275DAD"/>
          </w:tcPr>
          <w:p>
            <w:r>
              <w:rPr>
                <w:rFonts w:ascii="Noto Sans CJK SC" w:hAnsi="Noto Sans CJK SC" w:eastAsia="Noto Sans CJK SC"/>
                <w:b/>
                <w:color w:val="FFFFFF"/>
                <w:sz w:val="18"/>
              </w:rPr>
              <w:t>2025目标</w:t>
            </w:r>
          </w:p>
        </w:tc>
        <w:tc>
          <w:tcPr>
            <w:tcW w:type="dxa" w:w="3211"/>
            <w:shd w:fill="275DAD"/>
          </w:tcPr>
          <w:p>
            <w:r>
              <w:rPr>
                <w:rFonts w:ascii="Noto Sans CJK SC" w:hAnsi="Noto Sans CJK SC" w:eastAsia="Noto Sans CJK SC"/>
                <w:b/>
                <w:color w:val="FFFFFF"/>
                <w:sz w:val="18"/>
              </w:rPr>
              <w:t>更深层含义</w:t>
            </w:r>
          </w:p>
        </w:tc>
      </w:tr>
      <w:tr>
        <w:trPr>
          <w:cantSplit/>
        </w:trPr>
        <w:tc>
          <w:tcPr>
            <w:tcW w:type="dxa" w:w="2835"/>
            <w:tcMar>
              <w:top w:w="90" w:type="dxa"/>
              <w:start w:w="110" w:type="dxa"/>
              <w:bottom w:w="90" w:type="dxa"/>
              <w:end w:w="110" w:type="dxa"/>
            </w:tcMar>
          </w:tcPr>
          <w:p>
            <w:r>
              <w:rPr>
                <w:rFonts w:ascii="Noto Sans CJK SC" w:hAnsi="Noto Sans CJK SC" w:eastAsia="Noto Sans CJK SC"/>
                <w:b/>
                <w:sz w:val="18"/>
              </w:rPr>
              <w:t>工业用地供应</w:t>
            </w:r>
          </w:p>
        </w:tc>
        <w:tc>
          <w:tcPr>
            <w:tcW w:type="dxa" w:w="2268"/>
            <w:tcMar>
              <w:top w:w="90" w:type="dxa"/>
              <w:start w:w="110" w:type="dxa"/>
              <w:bottom w:w="90" w:type="dxa"/>
              <w:end w:w="110" w:type="dxa"/>
            </w:tcMar>
          </w:tcPr>
          <w:p>
            <w:r>
              <w:rPr>
                <w:rFonts w:ascii="Noto Sans CJK SC" w:hAnsi="Noto Sans CJK SC" w:eastAsia="Noto Sans CJK SC"/>
                <w:b w:val="0"/>
                <w:sz w:val="18"/>
              </w:rPr>
              <w:t>1万亩</w:t>
            </w:r>
          </w:p>
        </w:tc>
        <w:tc>
          <w:tcPr>
            <w:tcW w:type="dxa" w:w="3969"/>
            <w:tcMar>
              <w:top w:w="90" w:type="dxa"/>
              <w:start w:w="110" w:type="dxa"/>
              <w:bottom w:w="90" w:type="dxa"/>
              <w:end w:w="110" w:type="dxa"/>
            </w:tcMar>
          </w:tcPr>
          <w:p>
            <w:r>
              <w:rPr>
                <w:rFonts w:ascii="Noto Sans CJK SC" w:hAnsi="Noto Sans CJK SC" w:eastAsia="Noto Sans CJK SC"/>
                <w:b w:val="0"/>
                <w:sz w:val="18"/>
              </w:rPr>
              <w:t>把土地作为产业政策工具，而不是只追求短期土地收益。</w:t>
            </w:r>
          </w:p>
        </w:tc>
      </w:tr>
      <w:tr>
        <w:trPr>
          <w:cantSplit/>
        </w:trPr>
        <w:tc>
          <w:tcPr>
            <w:tcW w:type="dxa" w:w="2835"/>
            <w:tcMar>
              <w:top w:w="90" w:type="dxa"/>
              <w:start w:w="110" w:type="dxa"/>
              <w:bottom w:w="90" w:type="dxa"/>
              <w:end w:w="110" w:type="dxa"/>
            </w:tcMar>
          </w:tcPr>
          <w:p>
            <w:r>
              <w:rPr>
                <w:rFonts w:ascii="Noto Sans CJK SC" w:hAnsi="Noto Sans CJK SC" w:eastAsia="Noto Sans CJK SC"/>
                <w:b/>
                <w:sz w:val="18"/>
              </w:rPr>
              <w:t>“工业上楼”空间</w:t>
            </w:r>
          </w:p>
        </w:tc>
        <w:tc>
          <w:tcPr>
            <w:tcW w:type="dxa" w:w="2268"/>
            <w:tcMar>
              <w:top w:w="90" w:type="dxa"/>
              <w:start w:w="110" w:type="dxa"/>
              <w:bottom w:w="90" w:type="dxa"/>
              <w:end w:w="110" w:type="dxa"/>
            </w:tcMar>
          </w:tcPr>
          <w:p>
            <w:r>
              <w:rPr>
                <w:rFonts w:ascii="Noto Sans CJK SC" w:hAnsi="Noto Sans CJK SC" w:eastAsia="Noto Sans CJK SC"/>
                <w:b w:val="0"/>
                <w:sz w:val="18"/>
              </w:rPr>
              <w:t>250万平方米</w:t>
            </w:r>
          </w:p>
        </w:tc>
        <w:tc>
          <w:tcPr>
            <w:tcW w:type="dxa" w:w="3969"/>
            <w:tcMar>
              <w:top w:w="90" w:type="dxa"/>
              <w:start w:w="110" w:type="dxa"/>
              <w:bottom w:w="90" w:type="dxa"/>
              <w:end w:w="110" w:type="dxa"/>
            </w:tcMar>
          </w:tcPr>
          <w:p>
            <w:r>
              <w:rPr>
                <w:rFonts w:ascii="Noto Sans CJK SC" w:hAnsi="Noto Sans CJK SC" w:eastAsia="Noto Sans CJK SC"/>
                <w:b w:val="0"/>
                <w:sz w:val="18"/>
              </w:rPr>
              <w:t>在高地价城市提高工业空间承载密度。</w:t>
            </w:r>
          </w:p>
        </w:tc>
      </w:tr>
      <w:tr>
        <w:trPr>
          <w:cantSplit/>
        </w:trPr>
        <w:tc>
          <w:tcPr>
            <w:tcW w:type="dxa" w:w="2835"/>
            <w:tcMar>
              <w:top w:w="90" w:type="dxa"/>
              <w:start w:w="110" w:type="dxa"/>
              <w:bottom w:w="90" w:type="dxa"/>
              <w:end w:w="110" w:type="dxa"/>
            </w:tcMar>
          </w:tcPr>
          <w:p>
            <w:r>
              <w:rPr>
                <w:rFonts w:ascii="Noto Sans CJK SC" w:hAnsi="Noto Sans CJK SC" w:eastAsia="Noto Sans CJK SC"/>
                <w:b/>
                <w:sz w:val="18"/>
              </w:rPr>
              <w:t>制造业投资</w:t>
            </w:r>
          </w:p>
        </w:tc>
        <w:tc>
          <w:tcPr>
            <w:tcW w:type="dxa" w:w="2268"/>
            <w:tcMar>
              <w:top w:w="90" w:type="dxa"/>
              <w:start w:w="110" w:type="dxa"/>
              <w:bottom w:w="90" w:type="dxa"/>
              <w:end w:w="110" w:type="dxa"/>
            </w:tcMar>
          </w:tcPr>
          <w:p>
            <w:r>
              <w:rPr>
                <w:rFonts w:ascii="Noto Sans CJK SC" w:hAnsi="Noto Sans CJK SC" w:eastAsia="Noto Sans CJK SC"/>
                <w:b w:val="0"/>
                <w:sz w:val="18"/>
              </w:rPr>
              <w:t>力争增长10%、占比15%以上</w:t>
            </w:r>
          </w:p>
        </w:tc>
        <w:tc>
          <w:tcPr>
            <w:tcW w:type="dxa" w:w="3969"/>
            <w:tcMar>
              <w:top w:w="90" w:type="dxa"/>
              <w:start w:w="110" w:type="dxa"/>
              <w:bottom w:w="90" w:type="dxa"/>
              <w:end w:w="110" w:type="dxa"/>
            </w:tcMar>
          </w:tcPr>
          <w:p>
            <w:r>
              <w:rPr>
                <w:rFonts w:ascii="Noto Sans CJK SC" w:hAnsi="Noto Sans CJK SC" w:eastAsia="Noto Sans CJK SC"/>
                <w:b w:val="0"/>
                <w:sz w:val="18"/>
              </w:rPr>
              <w:t>要求制造业成为投资结构的增量来源。</w:t>
            </w:r>
          </w:p>
        </w:tc>
      </w:tr>
      <w:tr>
        <w:trPr>
          <w:cantSplit/>
        </w:trPr>
        <w:tc>
          <w:tcPr>
            <w:tcW w:type="dxa" w:w="2835"/>
            <w:tcMar>
              <w:top w:w="90" w:type="dxa"/>
              <w:start w:w="110" w:type="dxa"/>
              <w:bottom w:w="90" w:type="dxa"/>
              <w:end w:w="110" w:type="dxa"/>
            </w:tcMar>
          </w:tcPr>
          <w:p>
            <w:r>
              <w:rPr>
                <w:rFonts w:ascii="Noto Sans CJK SC" w:hAnsi="Noto Sans CJK SC" w:eastAsia="Noto Sans CJK SC"/>
                <w:b/>
                <w:sz w:val="18"/>
              </w:rPr>
              <w:t>低效用地再开发</w:t>
            </w:r>
          </w:p>
        </w:tc>
        <w:tc>
          <w:tcPr>
            <w:tcW w:type="dxa" w:w="2268"/>
            <w:tcMar>
              <w:top w:w="90" w:type="dxa"/>
              <w:start w:w="110" w:type="dxa"/>
              <w:bottom w:w="90" w:type="dxa"/>
              <w:end w:w="110" w:type="dxa"/>
            </w:tcMar>
          </w:tcPr>
          <w:p>
            <w:r>
              <w:rPr>
                <w:rFonts w:ascii="Noto Sans CJK SC" w:hAnsi="Noto Sans CJK SC" w:eastAsia="Noto Sans CJK SC"/>
                <w:b w:val="0"/>
                <w:sz w:val="18"/>
              </w:rPr>
              <w:t>4万亩</w:t>
            </w:r>
          </w:p>
        </w:tc>
        <w:tc>
          <w:tcPr>
            <w:tcW w:type="dxa" w:w="3969"/>
            <w:tcMar>
              <w:top w:w="90" w:type="dxa"/>
              <w:start w:w="110" w:type="dxa"/>
              <w:bottom w:w="90" w:type="dxa"/>
              <w:end w:w="110" w:type="dxa"/>
            </w:tcMar>
          </w:tcPr>
          <w:p>
            <w:r>
              <w:rPr>
                <w:rFonts w:ascii="Noto Sans CJK SC" w:hAnsi="Noto Sans CJK SC" w:eastAsia="Noto Sans CJK SC"/>
                <w:b w:val="0"/>
                <w:sz w:val="18"/>
              </w:rPr>
              <w:t>从新增扩张转向存量空间提效。</w:t>
            </w:r>
          </w:p>
        </w:tc>
      </w:tr>
      <w:tr>
        <w:trPr>
          <w:cantSplit/>
        </w:trPr>
        <w:tc>
          <w:tcPr>
            <w:tcW w:type="dxa" w:w="2835"/>
            <w:tcMar>
              <w:top w:w="90" w:type="dxa"/>
              <w:start w:w="110" w:type="dxa"/>
              <w:bottom w:w="90" w:type="dxa"/>
              <w:end w:w="110" w:type="dxa"/>
            </w:tcMar>
          </w:tcPr>
          <w:p>
            <w:r>
              <w:rPr>
                <w:rFonts w:ascii="Noto Sans CJK SC" w:hAnsi="Noto Sans CJK SC" w:eastAsia="Noto Sans CJK SC"/>
                <w:b/>
                <w:sz w:val="18"/>
              </w:rPr>
              <w:t>规上工业企业</w:t>
            </w:r>
          </w:p>
        </w:tc>
        <w:tc>
          <w:tcPr>
            <w:tcW w:type="dxa" w:w="2268"/>
            <w:tcMar>
              <w:top w:w="90" w:type="dxa"/>
              <w:start w:w="110" w:type="dxa"/>
              <w:bottom w:w="90" w:type="dxa"/>
              <w:end w:w="110" w:type="dxa"/>
            </w:tcMar>
          </w:tcPr>
          <w:p>
            <w:r>
              <w:rPr>
                <w:rFonts w:ascii="Noto Sans CJK SC" w:hAnsi="Noto Sans CJK SC" w:eastAsia="Noto Sans CJK SC"/>
                <w:b w:val="0"/>
                <w:sz w:val="18"/>
              </w:rPr>
              <w:t>新增500家以上</w:t>
            </w:r>
          </w:p>
        </w:tc>
        <w:tc>
          <w:tcPr>
            <w:tcW w:type="dxa" w:w="3969"/>
            <w:tcMar>
              <w:top w:w="90" w:type="dxa"/>
              <w:start w:w="110" w:type="dxa"/>
              <w:bottom w:w="90" w:type="dxa"/>
              <w:end w:w="110" w:type="dxa"/>
            </w:tcMar>
          </w:tcPr>
          <w:p>
            <w:r>
              <w:rPr>
                <w:rFonts w:ascii="Noto Sans CJK SC" w:hAnsi="Noto Sans CJK SC" w:eastAsia="Noto Sans CJK SC"/>
                <w:b w:val="0"/>
                <w:sz w:val="18"/>
              </w:rPr>
              <w:t>扩大可持续产值与统计口径中的工业基本盘。</w:t>
            </w:r>
          </w:p>
        </w:tc>
      </w:tr>
    </w:tbl>
    <w:p>
      <w:pPr>
        <w:spacing w:before="0" w:after="100"/>
      </w:pPr>
      <w:r>
        <w:rPr>
          <w:rFonts w:ascii="Noto Sans CJK SC" w:hAnsi="Noto Sans CJK SC" w:eastAsia="Noto Sans CJK SC"/>
          <w:color w:val="69717D"/>
          <w:sz w:val="17"/>
        </w:rPr>
        <w:t>资料依据：[1]</w:t>
      </w:r>
    </w:p>
    <w:p>
      <w:bookmarkStart w:id="7" w:name="detail4"/>
      <w:pPr>
        <w:pStyle w:val="Heading1"/>
      </w:pPr>
      <w:r>
        <w:t>六、容易被忽视的细节（四）：AI战略其实是一套完整的“技术—产业基础设施”</w:t>
      </w:r>
      <w:bookmarkEnd w:id="7"/>
    </w:p>
    <w:p>
      <w:pPr>
        <w:spacing w:after="100" w:line="348" w:lineRule="auto"/>
      </w:pPr>
      <w:r>
        <w:rPr>
          <w:rFonts w:ascii="Noto Sans CJK SC" w:hAnsi="Noto Sans CJK SC" w:eastAsia="Noto Sans CJK SC"/>
        </w:rPr>
        <w:t>如果把报告里的AI相关表述拆开，会发现杭州并没有只押注大模型，而是试图同时建设芯片、算力、模型、数据、软件、终端和应用场景。2024年杭州已将“算力券”扩容至每年2.5亿元；2025年报告继续要求扩大覆盖面，并提出建设新型算力中心、推进“芯机联动”“芯模联动”、打造高端芯片设计和制造高地、布局3个以上AI产业生态创新空间、发展具身智能等。</w:t>
      </w:r>
    </w:p>
    <w:p>
      <w:pPr>
        <w:pStyle w:val="Heading2"/>
      </w:pPr>
      <w:r>
        <w:t>AI产业链的政策逻辑</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376"/>
        <w:gridCol w:w="1376"/>
        <w:gridCol w:w="1376"/>
        <w:gridCol w:w="1376"/>
        <w:gridCol w:w="1376"/>
        <w:gridCol w:w="1376"/>
        <w:gridCol w:w="1376"/>
      </w:tblGrid>
      <w:tr>
        <w:trPr>
          <w:tblHeader w:val="true"/>
          <w:cantSplit/>
        </w:trPr>
        <w:tc>
          <w:tcPr>
            <w:tcW w:type="dxa" w:w="1376"/>
            <w:shd w:fill="17365D"/>
          </w:tcPr>
          <w:p>
            <w:r>
              <w:rPr>
                <w:rFonts w:ascii="Noto Sans CJK SC" w:hAnsi="Noto Sans CJK SC" w:eastAsia="Noto Sans CJK SC"/>
                <w:b/>
                <w:color w:val="FFFFFF"/>
                <w:sz w:val="17"/>
              </w:rPr>
              <w:t>芯片</w:t>
            </w:r>
          </w:p>
        </w:tc>
        <w:tc>
          <w:tcPr>
            <w:tcW w:type="dxa" w:w="1376"/>
            <w:shd w:fill="17365D"/>
          </w:tcPr>
          <w:p>
            <w:r>
              <w:rPr>
                <w:rFonts w:ascii="Noto Sans CJK SC" w:hAnsi="Noto Sans CJK SC" w:eastAsia="Noto Sans CJK SC"/>
                <w:b/>
                <w:color w:val="FFFFFF"/>
                <w:sz w:val="17"/>
              </w:rPr>
              <w:t>算力</w:t>
            </w:r>
          </w:p>
        </w:tc>
        <w:tc>
          <w:tcPr>
            <w:tcW w:type="dxa" w:w="1376"/>
            <w:shd w:fill="17365D"/>
          </w:tcPr>
          <w:p>
            <w:r>
              <w:rPr>
                <w:rFonts w:ascii="Noto Sans CJK SC" w:hAnsi="Noto Sans CJK SC" w:eastAsia="Noto Sans CJK SC"/>
                <w:b/>
                <w:color w:val="FFFFFF"/>
                <w:sz w:val="17"/>
              </w:rPr>
              <w:t>模型</w:t>
            </w:r>
          </w:p>
        </w:tc>
        <w:tc>
          <w:tcPr>
            <w:tcW w:type="dxa" w:w="1376"/>
            <w:shd w:fill="17365D"/>
          </w:tcPr>
          <w:p>
            <w:r>
              <w:rPr>
                <w:rFonts w:ascii="Noto Sans CJK SC" w:hAnsi="Noto Sans CJK SC" w:eastAsia="Noto Sans CJK SC"/>
                <w:b/>
                <w:color w:val="FFFFFF"/>
                <w:sz w:val="17"/>
              </w:rPr>
              <w:t>数据</w:t>
            </w:r>
          </w:p>
        </w:tc>
        <w:tc>
          <w:tcPr>
            <w:tcW w:type="dxa" w:w="1376"/>
            <w:shd w:fill="17365D"/>
          </w:tcPr>
          <w:p>
            <w:r>
              <w:rPr>
                <w:rFonts w:ascii="Noto Sans CJK SC" w:hAnsi="Noto Sans CJK SC" w:eastAsia="Noto Sans CJK SC"/>
                <w:b/>
                <w:color w:val="FFFFFF"/>
                <w:sz w:val="17"/>
              </w:rPr>
              <w:t>软件</w:t>
            </w:r>
          </w:p>
        </w:tc>
        <w:tc>
          <w:tcPr>
            <w:tcW w:type="dxa" w:w="1376"/>
            <w:shd w:fill="17365D"/>
          </w:tcPr>
          <w:p>
            <w:r>
              <w:rPr>
                <w:rFonts w:ascii="Noto Sans CJK SC" w:hAnsi="Noto Sans CJK SC" w:eastAsia="Noto Sans CJK SC"/>
                <w:b/>
                <w:color w:val="FFFFFF"/>
                <w:sz w:val="17"/>
              </w:rPr>
              <w:t>场景</w:t>
            </w:r>
          </w:p>
        </w:tc>
        <w:tc>
          <w:tcPr>
            <w:tcW w:type="dxa" w:w="1376"/>
            <w:shd w:fill="17365D"/>
          </w:tcPr>
          <w:p>
            <w:r>
              <w:rPr>
                <w:rFonts w:ascii="Noto Sans CJK SC" w:hAnsi="Noto Sans CJK SC" w:eastAsia="Noto Sans CJK SC"/>
                <w:b/>
                <w:color w:val="FFFFFF"/>
                <w:sz w:val="17"/>
              </w:rPr>
              <w:t>终端/机器人</w:t>
            </w:r>
          </w:p>
        </w:tc>
      </w:tr>
      <w:tr>
        <w:trPr>
          <w:cantSplit/>
        </w:trPr>
        <w:tc>
          <w:tcPr>
            <w:tcW w:type="dxa" w:w="1376"/>
            <w:tcMar>
              <w:top w:w="90" w:type="dxa"/>
              <w:start w:w="60" w:type="dxa"/>
              <w:bottom w:w="90" w:type="dxa"/>
              <w:end w:w="60" w:type="dxa"/>
            </w:tcMar>
          </w:tcPr>
          <w:p>
            <w:r>
              <w:rPr>
                <w:rFonts w:ascii="Noto Sans CJK SC" w:hAnsi="Noto Sans CJK SC" w:eastAsia="Noto Sans CJK SC"/>
                <w:sz w:val="16"/>
              </w:rPr>
              <w:t>高端芯片设计制造</w:t>
            </w:r>
          </w:p>
        </w:tc>
        <w:tc>
          <w:tcPr>
            <w:tcW w:type="dxa" w:w="1376"/>
            <w:tcMar>
              <w:top w:w="90" w:type="dxa"/>
              <w:start w:w="60" w:type="dxa"/>
              <w:bottom w:w="90" w:type="dxa"/>
              <w:end w:w="60" w:type="dxa"/>
            </w:tcMar>
          </w:tcPr>
          <w:p>
            <w:r>
              <w:rPr>
                <w:rFonts w:ascii="Noto Sans CJK SC" w:hAnsi="Noto Sans CJK SC" w:eastAsia="Noto Sans CJK SC"/>
                <w:sz w:val="16"/>
              </w:rPr>
              <w:t>新型算力中心/算力券</w:t>
            </w:r>
          </w:p>
        </w:tc>
        <w:tc>
          <w:tcPr>
            <w:tcW w:type="dxa" w:w="1376"/>
            <w:tcMar>
              <w:top w:w="90" w:type="dxa"/>
              <w:start w:w="60" w:type="dxa"/>
              <w:bottom w:w="90" w:type="dxa"/>
              <w:end w:w="60" w:type="dxa"/>
            </w:tcMar>
          </w:tcPr>
          <w:p>
            <w:r>
              <w:rPr>
                <w:rFonts w:ascii="Noto Sans CJK SC" w:hAnsi="Noto Sans CJK SC" w:eastAsia="Noto Sans CJK SC"/>
                <w:sz w:val="16"/>
              </w:rPr>
              <w:t>开源与模型企业</w:t>
            </w:r>
          </w:p>
        </w:tc>
        <w:tc>
          <w:tcPr>
            <w:tcW w:type="dxa" w:w="1376"/>
            <w:tcMar>
              <w:top w:w="90" w:type="dxa"/>
              <w:start w:w="60" w:type="dxa"/>
              <w:bottom w:w="90" w:type="dxa"/>
              <w:end w:w="60" w:type="dxa"/>
            </w:tcMar>
          </w:tcPr>
          <w:p>
            <w:r>
              <w:rPr>
                <w:rFonts w:ascii="Noto Sans CJK SC" w:hAnsi="Noto Sans CJK SC" w:eastAsia="Noto Sans CJK SC"/>
                <w:sz w:val="16"/>
              </w:rPr>
              <w:t>公共数据开放/数据交易</w:t>
            </w:r>
          </w:p>
        </w:tc>
        <w:tc>
          <w:tcPr>
            <w:tcW w:type="dxa" w:w="1376"/>
            <w:tcMar>
              <w:top w:w="90" w:type="dxa"/>
              <w:start w:w="60" w:type="dxa"/>
              <w:bottom w:w="90" w:type="dxa"/>
              <w:end w:w="60" w:type="dxa"/>
            </w:tcMar>
          </w:tcPr>
          <w:p>
            <w:r>
              <w:rPr>
                <w:rFonts w:ascii="Noto Sans CJK SC" w:hAnsi="Noto Sans CJK SC" w:eastAsia="Noto Sans CJK SC"/>
                <w:sz w:val="16"/>
              </w:rPr>
              <w:t>软件名城振兴</w:t>
            </w:r>
          </w:p>
        </w:tc>
        <w:tc>
          <w:tcPr>
            <w:tcW w:type="dxa" w:w="1376"/>
            <w:tcMar>
              <w:top w:w="90" w:type="dxa"/>
              <w:start w:w="60" w:type="dxa"/>
              <w:bottom w:w="90" w:type="dxa"/>
              <w:end w:w="60" w:type="dxa"/>
            </w:tcMar>
          </w:tcPr>
          <w:p>
            <w:r>
              <w:rPr>
                <w:rFonts w:ascii="Noto Sans CJK SC" w:hAnsi="Noto Sans CJK SC" w:eastAsia="Noto Sans CJK SC"/>
                <w:sz w:val="16"/>
              </w:rPr>
              <w:t>新技术新产品新场景</w:t>
            </w:r>
          </w:p>
        </w:tc>
        <w:tc>
          <w:tcPr>
            <w:tcW w:type="dxa" w:w="1376"/>
            <w:tcMar>
              <w:top w:w="90" w:type="dxa"/>
              <w:start w:w="60" w:type="dxa"/>
              <w:bottom w:w="90" w:type="dxa"/>
              <w:end w:w="60" w:type="dxa"/>
            </w:tcMar>
          </w:tcPr>
          <w:p>
            <w:r>
              <w:rPr>
                <w:rFonts w:ascii="Noto Sans CJK SC" w:hAnsi="Noto Sans CJK SC" w:eastAsia="Noto Sans CJK SC"/>
                <w:sz w:val="16"/>
              </w:rPr>
              <w:t>具身智能/AI终端</w:t>
            </w:r>
          </w:p>
        </w:tc>
      </w:tr>
    </w:tbl>
    <w:p>
      <w:pPr>
        <w:spacing w:after="100" w:line="348" w:lineRule="auto"/>
      </w:pPr>
      <w:r>
        <w:rPr>
          <w:rFonts w:ascii="Noto Sans CJK SC" w:hAnsi="Noto Sans CJK SC" w:eastAsia="Noto Sans CJK SC"/>
        </w:rPr>
        <w:t>这说明杭州对AI的理解已经从“互联网软件优势的延伸”转向“软硬结合的通用产业平台”。杭州过去最突出的优势在软件、平台和应用，当前政策明显在补芯片、硬件、机器人和制造环节。</w:t>
      </w:r>
    </w:p>
    <w:tbl>
      <w:tblPr>
        <w:tblW w:type="auto" w:w="0"/>
        <w:jc w:val="center"/>
        <w:tblLayout w:type="fixed"/>
        <w:tblLook w:firstColumn="1" w:firstRow="1" w:lastColumn="0" w:lastRow="0" w:noHBand="0" w:noVBand="1" w:val="04A0"/>
      </w:tblPr>
      <w:tblGrid>
        <w:gridCol w:w="9241"/>
      </w:tblGrid>
      <w:tr>
        <w:trPr>
          <w:tblHeader w:val="true"/>
          <w:cantSplit/>
        </w:trPr>
        <w:tc>
          <w:tcPr>
            <w:tcW w:type="dxa" w:w="9632"/>
            <w:shd w:fill="EEF4FF"/>
            <w:tcMar>
              <w:top w:w="130" w:type="dxa"/>
              <w:start w:w="180" w:type="dxa"/>
              <w:bottom w:w="130" w:type="dxa"/>
              <w:end w:w="180" w:type="dxa"/>
            </w:tcMar>
          </w:tcPr>
          <w:p>
            <w:pPr>
              <w:spacing w:after="80"/>
            </w:pPr>
            <w:r>
              <w:rPr>
                <w:rFonts w:ascii="Noto Sans CJK SC" w:hAnsi="Noto Sans CJK SC" w:eastAsia="Noto Sans CJK SC"/>
                <w:b/>
                <w:color w:val="275DAD"/>
                <w:sz w:val="22"/>
              </w:rPr>
              <w:t>真正的竞争对象</w:t>
            </w:r>
          </w:p>
          <w:p>
            <w:pPr>
              <w:spacing w:line="324" w:lineRule="auto" w:after="0"/>
            </w:pPr>
            <w:r>
              <w:rPr>
                <w:rFonts w:ascii="Noto Sans CJK SC" w:hAnsi="Noto Sans CJK SC" w:eastAsia="Noto Sans CJK SC"/>
                <w:sz w:val="21"/>
              </w:rPr>
              <w:t>AI时代城市之间竞争的不只是“有没有一个好模型”，而是能不能形成“模型＋数据＋算力＋芯片＋制造＋场景＋资本＋人才”的闭环。任何一个环节长期外缺，都可能把价值外溢到别的地区。</w:t>
            </w:r>
          </w:p>
        </w:tc>
      </w:tr>
    </w:tbl>
    <w:p>
      <w:pPr>
        <w:spacing w:after="0"/>
      </w:pPr>
    </w:p>
    <w:p>
      <w:pPr>
        <w:spacing w:before="0" w:after="100"/>
      </w:pPr>
      <w:r>
        <w:rPr>
          <w:rFonts w:ascii="Noto Sans CJK SC" w:hAnsi="Noto Sans CJK SC" w:eastAsia="Noto Sans CJK SC"/>
          <w:color w:val="69717D"/>
          <w:sz w:val="17"/>
        </w:rPr>
        <w:t>资料依据：[1]、[5]</w:t>
      </w:r>
    </w:p>
    <w:p>
      <w:bookmarkStart w:id="8" w:name="detail5"/>
      <w:pPr>
        <w:pStyle w:val="Heading1"/>
      </w:pPr>
      <w:r>
        <w:t>七、容易被忽视的细节（五）：政府正在越来越像“产业资本组织者”</w:t>
      </w:r>
      <w:bookmarkEnd w:id="8"/>
    </w:p>
    <w:p>
      <w:pPr>
        <w:spacing w:after="100" w:line="348" w:lineRule="auto"/>
      </w:pPr>
      <w:r>
        <w:rPr>
          <w:rFonts w:ascii="Noto Sans CJK SC" w:hAnsi="Noto Sans CJK SC" w:eastAsia="Noto Sans CJK SC"/>
        </w:rPr>
        <w:t>2024年杭州“3+N”产业基金集群规模已达2539亿元；2025年报告提出力争突破3000亿元，并加快建立未来产业基金和“润苗”基金，明确政府投资基金要“投早、投小、投长期、投硬科技”，同时要求科技成果转化基金规模超过100亿元。</w:t>
      </w:r>
    </w:p>
    <w:p>
      <w:pPr>
        <w:spacing w:after="100" w:line="348" w:lineRule="auto"/>
      </w:pPr>
      <w:r>
        <w:rPr>
          <w:rFonts w:ascii="Noto Sans CJK SC" w:hAnsi="Noto Sans CJK SC" w:eastAsia="Noto Sans CJK SC"/>
        </w:rPr>
        <w:t>这里最重要的变化不是基金数字本身，而是产业政策的工具正在变化。传统补贴是企业先投入、政府后补助；产业基金则是政府资金作为母基金、引导基金或共同投资者，与市场资本一起承担早期和长期风险。</w:t>
      </w:r>
    </w:p>
    <w:p>
      <w:pPr>
        <w:pStyle w:val="Heading2"/>
      </w:pPr>
      <w:r>
        <w:t>产业政策工具的变化</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928"/>
        <w:gridCol w:w="2381"/>
        <w:gridCol w:w="2324"/>
        <w:gridCol w:w="2551"/>
      </w:tblGrid>
      <w:tr>
        <w:trPr>
          <w:tblHeader w:val="true"/>
          <w:cantSplit/>
        </w:trPr>
        <w:tc>
          <w:tcPr>
            <w:tcW w:type="dxa" w:w="2408"/>
            <w:shd w:fill="275DAD"/>
          </w:tcPr>
          <w:p>
            <w:r>
              <w:rPr>
                <w:rFonts w:ascii="Noto Sans CJK SC" w:hAnsi="Noto Sans CJK SC" w:eastAsia="Noto Sans CJK SC"/>
                <w:b/>
                <w:color w:val="FFFFFF"/>
                <w:sz w:val="18"/>
              </w:rPr>
              <w:t>工具</w:t>
            </w:r>
          </w:p>
        </w:tc>
        <w:tc>
          <w:tcPr>
            <w:tcW w:type="dxa" w:w="2408"/>
            <w:shd w:fill="275DAD"/>
          </w:tcPr>
          <w:p>
            <w:r>
              <w:rPr>
                <w:rFonts w:ascii="Noto Sans CJK SC" w:hAnsi="Noto Sans CJK SC" w:eastAsia="Noto Sans CJK SC"/>
                <w:b/>
                <w:color w:val="FFFFFF"/>
                <w:sz w:val="18"/>
              </w:rPr>
              <w:t>传统方式</w:t>
            </w:r>
          </w:p>
        </w:tc>
        <w:tc>
          <w:tcPr>
            <w:tcW w:type="dxa" w:w="2408"/>
            <w:shd w:fill="275DAD"/>
          </w:tcPr>
          <w:p>
            <w:r>
              <w:rPr>
                <w:rFonts w:ascii="Noto Sans CJK SC" w:hAnsi="Noto Sans CJK SC" w:eastAsia="Noto Sans CJK SC"/>
                <w:b/>
                <w:color w:val="FFFFFF"/>
                <w:sz w:val="18"/>
              </w:rPr>
              <w:t>新趋势</w:t>
            </w:r>
          </w:p>
        </w:tc>
        <w:tc>
          <w:tcPr>
            <w:tcW w:type="dxa" w:w="2408"/>
            <w:shd w:fill="275DAD"/>
          </w:tcPr>
          <w:p>
            <w:r>
              <w:rPr>
                <w:rFonts w:ascii="Noto Sans CJK SC" w:hAnsi="Noto Sans CJK SC" w:eastAsia="Noto Sans CJK SC"/>
                <w:b/>
                <w:color w:val="FFFFFF"/>
                <w:sz w:val="18"/>
              </w:rPr>
              <w:t>制度含义</w:t>
            </w:r>
          </w:p>
        </w:tc>
      </w:tr>
      <w:tr>
        <w:trPr>
          <w:cantSplit/>
        </w:trPr>
        <w:tc>
          <w:tcPr>
            <w:tcW w:type="dxa" w:w="1928"/>
            <w:tcMar>
              <w:top w:w="90" w:type="dxa"/>
              <w:start w:w="110" w:type="dxa"/>
              <w:bottom w:w="90" w:type="dxa"/>
              <w:end w:w="110" w:type="dxa"/>
            </w:tcMar>
          </w:tcPr>
          <w:p>
            <w:r>
              <w:rPr>
                <w:rFonts w:ascii="Noto Sans CJK SC" w:hAnsi="Noto Sans CJK SC" w:eastAsia="Noto Sans CJK SC"/>
                <w:sz w:val="18"/>
              </w:rPr>
              <w:t>财政补贴</w:t>
            </w:r>
          </w:p>
        </w:tc>
        <w:tc>
          <w:tcPr>
            <w:tcW w:type="dxa" w:w="2381"/>
            <w:tcMar>
              <w:top w:w="90" w:type="dxa"/>
              <w:start w:w="110" w:type="dxa"/>
              <w:bottom w:w="90" w:type="dxa"/>
              <w:end w:w="110" w:type="dxa"/>
            </w:tcMar>
          </w:tcPr>
          <w:p>
            <w:r>
              <w:rPr>
                <w:rFonts w:ascii="Noto Sans CJK SC" w:hAnsi="Noto Sans CJK SC" w:eastAsia="Noto Sans CJK SC"/>
                <w:sz w:val="18"/>
              </w:rPr>
              <w:t>按项目/投入给予补助</w:t>
            </w:r>
          </w:p>
        </w:tc>
        <w:tc>
          <w:tcPr>
            <w:tcW w:type="dxa" w:w="2324"/>
            <w:tcMar>
              <w:top w:w="90" w:type="dxa"/>
              <w:start w:w="110" w:type="dxa"/>
              <w:bottom w:w="90" w:type="dxa"/>
              <w:end w:w="110" w:type="dxa"/>
            </w:tcMar>
          </w:tcPr>
          <w:p>
            <w:r>
              <w:rPr>
                <w:rFonts w:ascii="Noto Sans CJK SC" w:hAnsi="Noto Sans CJK SC" w:eastAsia="Noto Sans CJK SC"/>
                <w:sz w:val="18"/>
              </w:rPr>
              <w:t>仍保留</w:t>
            </w:r>
          </w:p>
        </w:tc>
        <w:tc>
          <w:tcPr>
            <w:tcW w:type="dxa" w:w="2551"/>
            <w:tcMar>
              <w:top w:w="90" w:type="dxa"/>
              <w:start w:w="110" w:type="dxa"/>
              <w:bottom w:w="90" w:type="dxa"/>
              <w:end w:w="110" w:type="dxa"/>
            </w:tcMar>
          </w:tcPr>
          <w:p>
            <w:r>
              <w:rPr>
                <w:rFonts w:ascii="Noto Sans CJK SC" w:hAnsi="Noto Sans CJK SC" w:eastAsia="Noto Sans CJK SC"/>
                <w:sz w:val="18"/>
              </w:rPr>
              <w:t>降低企业成本，但财政承担一次性支出。</w:t>
            </w:r>
          </w:p>
        </w:tc>
      </w:tr>
      <w:tr>
        <w:trPr>
          <w:cantSplit/>
        </w:trPr>
        <w:tc>
          <w:tcPr>
            <w:tcW w:type="dxa" w:w="1928"/>
            <w:tcMar>
              <w:top w:w="90" w:type="dxa"/>
              <w:start w:w="110" w:type="dxa"/>
              <w:bottom w:w="90" w:type="dxa"/>
              <w:end w:w="110" w:type="dxa"/>
            </w:tcMar>
          </w:tcPr>
          <w:p>
            <w:r>
              <w:rPr>
                <w:rFonts w:ascii="Noto Sans CJK SC" w:hAnsi="Noto Sans CJK SC" w:eastAsia="Noto Sans CJK SC"/>
                <w:sz w:val="18"/>
              </w:rPr>
              <w:t>产业基金</w:t>
            </w:r>
          </w:p>
        </w:tc>
        <w:tc>
          <w:tcPr>
            <w:tcW w:type="dxa" w:w="2381"/>
            <w:tcMar>
              <w:top w:w="90" w:type="dxa"/>
              <w:start w:w="110" w:type="dxa"/>
              <w:bottom w:w="90" w:type="dxa"/>
              <w:end w:w="110" w:type="dxa"/>
            </w:tcMar>
          </w:tcPr>
          <w:p>
            <w:r>
              <w:rPr>
                <w:rFonts w:ascii="Noto Sans CJK SC" w:hAnsi="Noto Sans CJK SC" w:eastAsia="Noto Sans CJK SC"/>
                <w:sz w:val="18"/>
              </w:rPr>
              <w:t>较弱或分散</w:t>
            </w:r>
          </w:p>
        </w:tc>
        <w:tc>
          <w:tcPr>
            <w:tcW w:type="dxa" w:w="2324"/>
            <w:tcMar>
              <w:top w:w="90" w:type="dxa"/>
              <w:start w:w="110" w:type="dxa"/>
              <w:bottom w:w="90" w:type="dxa"/>
              <w:end w:w="110" w:type="dxa"/>
            </w:tcMar>
          </w:tcPr>
          <w:p>
            <w:r>
              <w:rPr>
                <w:rFonts w:ascii="Noto Sans CJK SC" w:hAnsi="Noto Sans CJK SC" w:eastAsia="Noto Sans CJK SC"/>
                <w:sz w:val="18"/>
              </w:rPr>
              <w:t>规模化、集群化</w:t>
            </w:r>
          </w:p>
        </w:tc>
        <w:tc>
          <w:tcPr>
            <w:tcW w:type="dxa" w:w="2551"/>
            <w:tcMar>
              <w:top w:w="90" w:type="dxa"/>
              <w:start w:w="110" w:type="dxa"/>
              <w:bottom w:w="90" w:type="dxa"/>
              <w:end w:w="110" w:type="dxa"/>
            </w:tcMar>
          </w:tcPr>
          <w:p>
            <w:r>
              <w:rPr>
                <w:rFonts w:ascii="Noto Sans CJK SC" w:hAnsi="Noto Sans CJK SC" w:eastAsia="Noto Sans CJK SC"/>
                <w:sz w:val="18"/>
              </w:rPr>
              <w:t>政府用资本撬动资本，并分享部分投资收益/风险。</w:t>
            </w:r>
          </w:p>
        </w:tc>
      </w:tr>
      <w:tr>
        <w:trPr>
          <w:cantSplit/>
        </w:trPr>
        <w:tc>
          <w:tcPr>
            <w:tcW w:type="dxa" w:w="1928"/>
            <w:tcMar>
              <w:top w:w="90" w:type="dxa"/>
              <w:start w:w="110" w:type="dxa"/>
              <w:bottom w:w="90" w:type="dxa"/>
              <w:end w:w="110" w:type="dxa"/>
            </w:tcMar>
          </w:tcPr>
          <w:p>
            <w:r>
              <w:rPr>
                <w:rFonts w:ascii="Noto Sans CJK SC" w:hAnsi="Noto Sans CJK SC" w:eastAsia="Noto Sans CJK SC"/>
                <w:sz w:val="18"/>
              </w:rPr>
              <w:t>场景开放</w:t>
            </w:r>
          </w:p>
        </w:tc>
        <w:tc>
          <w:tcPr>
            <w:tcW w:type="dxa" w:w="2381"/>
            <w:tcMar>
              <w:top w:w="90" w:type="dxa"/>
              <w:start w:w="110" w:type="dxa"/>
              <w:bottom w:w="90" w:type="dxa"/>
              <w:end w:w="110" w:type="dxa"/>
            </w:tcMar>
          </w:tcPr>
          <w:p>
            <w:r>
              <w:rPr>
                <w:rFonts w:ascii="Noto Sans CJK SC" w:hAnsi="Noto Sans CJK SC" w:eastAsia="Noto Sans CJK SC"/>
                <w:sz w:val="18"/>
              </w:rPr>
              <w:t>行政采购为主</w:t>
            </w:r>
          </w:p>
        </w:tc>
        <w:tc>
          <w:tcPr>
            <w:tcW w:type="dxa" w:w="2324"/>
            <w:tcMar>
              <w:top w:w="90" w:type="dxa"/>
              <w:start w:w="110" w:type="dxa"/>
              <w:bottom w:w="90" w:type="dxa"/>
              <w:end w:w="110" w:type="dxa"/>
            </w:tcMar>
          </w:tcPr>
          <w:p>
            <w:r>
              <w:rPr>
                <w:rFonts w:ascii="Noto Sans CJK SC" w:hAnsi="Noto Sans CJK SC" w:eastAsia="Noto Sans CJK SC"/>
                <w:sz w:val="18"/>
              </w:rPr>
              <w:t>示范应用加速</w:t>
            </w:r>
          </w:p>
        </w:tc>
        <w:tc>
          <w:tcPr>
            <w:tcW w:type="dxa" w:w="2551"/>
            <w:tcMar>
              <w:top w:w="90" w:type="dxa"/>
              <w:start w:w="110" w:type="dxa"/>
              <w:bottom w:w="90" w:type="dxa"/>
              <w:end w:w="110" w:type="dxa"/>
            </w:tcMar>
          </w:tcPr>
          <w:p>
            <w:r>
              <w:rPr>
                <w:rFonts w:ascii="Noto Sans CJK SC" w:hAnsi="Noto Sans CJK SC" w:eastAsia="Noto Sans CJK SC"/>
                <w:sz w:val="18"/>
              </w:rPr>
              <w:t>用城市需求帮助新产品完成首批商业验证。</w:t>
            </w:r>
          </w:p>
        </w:tc>
      </w:tr>
      <w:tr>
        <w:trPr>
          <w:cantSplit/>
        </w:trPr>
        <w:tc>
          <w:tcPr>
            <w:tcW w:type="dxa" w:w="1928"/>
            <w:tcMar>
              <w:top w:w="90" w:type="dxa"/>
              <w:start w:w="110" w:type="dxa"/>
              <w:bottom w:w="90" w:type="dxa"/>
              <w:end w:w="110" w:type="dxa"/>
            </w:tcMar>
          </w:tcPr>
          <w:p>
            <w:r>
              <w:rPr>
                <w:rFonts w:ascii="Noto Sans CJK SC" w:hAnsi="Noto Sans CJK SC" w:eastAsia="Noto Sans CJK SC"/>
                <w:sz w:val="18"/>
              </w:rPr>
              <w:t>算力/数据等券</w:t>
            </w:r>
          </w:p>
        </w:tc>
        <w:tc>
          <w:tcPr>
            <w:tcW w:type="dxa" w:w="2381"/>
            <w:tcMar>
              <w:top w:w="90" w:type="dxa"/>
              <w:start w:w="110" w:type="dxa"/>
              <w:bottom w:w="90" w:type="dxa"/>
              <w:end w:w="110" w:type="dxa"/>
            </w:tcMar>
          </w:tcPr>
          <w:p>
            <w:r>
              <w:rPr>
                <w:rFonts w:ascii="Noto Sans CJK SC" w:hAnsi="Noto Sans CJK SC" w:eastAsia="Noto Sans CJK SC"/>
                <w:sz w:val="18"/>
              </w:rPr>
              <w:t>传统产业较少</w:t>
            </w:r>
          </w:p>
        </w:tc>
        <w:tc>
          <w:tcPr>
            <w:tcW w:type="dxa" w:w="2324"/>
            <w:tcMar>
              <w:top w:w="90" w:type="dxa"/>
              <w:start w:w="110" w:type="dxa"/>
              <w:bottom w:w="90" w:type="dxa"/>
              <w:end w:w="110" w:type="dxa"/>
            </w:tcMar>
          </w:tcPr>
          <w:p>
            <w:r>
              <w:rPr>
                <w:rFonts w:ascii="Noto Sans CJK SC" w:hAnsi="Noto Sans CJK SC" w:eastAsia="Noto Sans CJK SC"/>
                <w:sz w:val="18"/>
              </w:rPr>
              <w:t>数字基础设施补贴</w:t>
            </w:r>
          </w:p>
        </w:tc>
        <w:tc>
          <w:tcPr>
            <w:tcW w:type="dxa" w:w="2551"/>
            <w:tcMar>
              <w:top w:w="90" w:type="dxa"/>
              <w:start w:w="110" w:type="dxa"/>
              <w:bottom w:w="90" w:type="dxa"/>
              <w:end w:w="110" w:type="dxa"/>
            </w:tcMar>
          </w:tcPr>
          <w:p>
            <w:r>
              <w:rPr>
                <w:rFonts w:ascii="Noto Sans CJK SC" w:hAnsi="Noto Sans CJK SC" w:eastAsia="Noto Sans CJK SC"/>
                <w:sz w:val="18"/>
              </w:rPr>
              <w:t>把新型基础设施变成产业公共品。</w:t>
            </w:r>
          </w:p>
        </w:tc>
      </w:tr>
    </w:tbl>
    <w:tbl>
      <w:tblPr>
        <w:tblW w:type="auto" w:w="0"/>
        <w:jc w:val="center"/>
        <w:tblLayout w:type="fixed"/>
        <w:tblLook w:firstColumn="1" w:firstRow="1" w:lastColumn="0" w:lastRow="0" w:noHBand="0" w:noVBand="1" w:val="04A0"/>
      </w:tblPr>
      <w:tblGrid>
        <w:gridCol w:w="9241"/>
      </w:tblGrid>
      <w:tr>
        <w:trPr>
          <w:tblHeader w:val="true"/>
          <w:cantSplit/>
        </w:trPr>
        <w:tc>
          <w:tcPr>
            <w:tcW w:type="dxa" w:w="9632"/>
            <w:shd w:fill="FFF8E8"/>
            <w:tcMar>
              <w:top w:w="130" w:type="dxa"/>
              <w:start w:w="180" w:type="dxa"/>
              <w:bottom w:w="130" w:type="dxa"/>
              <w:end w:w="180" w:type="dxa"/>
            </w:tcMar>
          </w:tcPr>
          <w:p>
            <w:pPr>
              <w:spacing w:after="80"/>
            </w:pPr>
            <w:r>
              <w:rPr>
                <w:rFonts w:ascii="Noto Sans CJK SC" w:hAnsi="Noto Sans CJK SC" w:eastAsia="Noto Sans CJK SC"/>
                <w:b/>
                <w:color w:val="A86A00"/>
                <w:sz w:val="22"/>
              </w:rPr>
              <w:t>需要警惕的另一面</w:t>
            </w:r>
          </w:p>
          <w:p>
            <w:pPr>
              <w:spacing w:line="324" w:lineRule="auto" w:after="0"/>
            </w:pPr>
            <w:r>
              <w:rPr>
                <w:rFonts w:ascii="Noto Sans CJK SC" w:hAnsi="Noto Sans CJK SC" w:eastAsia="Noto Sans CJK SC"/>
                <w:sz w:val="21"/>
              </w:rPr>
              <w:t>产业基金并不天然提高效率。真正需要观察的是：是否形成市场化退出、是否避免重复投资、是否减少“为了投而投”、是否能让社会资本愿意跟投，以及失败项目如何承担责任。基金规模只是起点，资本配置质量才是结果。</w:t>
            </w:r>
          </w:p>
        </w:tc>
      </w:tr>
    </w:tbl>
    <w:p>
      <w:pPr>
        <w:spacing w:after="0"/>
      </w:pPr>
    </w:p>
    <w:p>
      <w:pPr>
        <w:spacing w:before="0" w:after="100"/>
      </w:pPr>
      <w:r>
        <w:rPr>
          <w:rFonts w:ascii="Noto Sans CJK SC" w:hAnsi="Noto Sans CJK SC" w:eastAsia="Noto Sans CJK SC"/>
          <w:color w:val="69717D"/>
          <w:sz w:val="17"/>
        </w:rPr>
        <w:t>资料依据：[1]、[5]</w:t>
      </w:r>
    </w:p>
    <w:p>
      <w:bookmarkStart w:id="9" w:name="detail6"/>
      <w:pPr>
        <w:pStyle w:val="Heading1"/>
      </w:pPr>
      <w:r>
        <w:t>八、容易被忽视的细节（六）：土地财政退潮，是理解整份报告的钥匙</w:t>
      </w:r>
      <w:bookmarkEnd w:id="9"/>
    </w:p>
    <w:p>
      <w:pPr>
        <w:spacing w:after="100" w:line="348" w:lineRule="auto"/>
      </w:pPr>
      <w:r>
        <w:rPr>
          <w:rFonts w:ascii="Noto Sans CJK SC" w:hAnsi="Noto Sans CJK SC" w:eastAsia="Noto Sans CJK SC"/>
        </w:rPr>
        <w:t>2024年杭州全市政府性基金收入1531.1亿元，同比下降31.4%；其中，国有土地使用权出让收入1395.6亿元，同比下降31.1%。2025年预算预计全市政府性基金收入1375.6亿元，继续下降10.2%，其中土地出让收入预算1246.1亿元，下降10.7%。官方预算报告明确把主要原因指向土地市场行情。</w:t>
      </w:r>
    </w:p>
    <w:p>
      <w:pPr>
        <w:spacing w:after="100" w:line="348" w:lineRule="auto"/>
      </w:pPr>
      <w:r>
        <w:rPr>
          <w:rFonts w:ascii="Noto Sans CJK SC" w:hAnsi="Noto Sans CJK SC" w:eastAsia="Noto Sans CJK SC"/>
        </w:rPr>
        <w:t>这组数据解释了为什么杭州必须如此重视制造业、科技企业、总部经济、生产性服务业和民间投资。房地产高增长时代，地方政府可以通过土地开发形成大额政府性基金收入；当土地市场下行，城市必须更依赖持续的税收、产业利润和经营主体扩张。</w:t>
      </w:r>
    </w:p>
    <w:p>
      <w:pPr>
        <w:pStyle w:val="Heading2"/>
      </w:pPr>
      <w:r>
        <w:t>土地与政府性基金收入的变化</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18"/>
        <w:gridCol w:w="1928"/>
        <w:gridCol w:w="1928"/>
        <w:gridCol w:w="2381"/>
      </w:tblGrid>
      <w:tr>
        <w:trPr>
          <w:tblHeader w:val="true"/>
          <w:cantSplit/>
        </w:trPr>
        <w:tc>
          <w:tcPr>
            <w:tcW w:type="dxa" w:w="2408"/>
            <w:shd w:fill="17365D"/>
          </w:tcPr>
          <w:p>
            <w:r>
              <w:rPr>
                <w:rFonts w:ascii="Noto Sans CJK SC" w:hAnsi="Noto Sans CJK SC" w:eastAsia="Noto Sans CJK SC"/>
                <w:b/>
                <w:color w:val="FFFFFF"/>
                <w:sz w:val="18"/>
              </w:rPr>
              <w:t>指标</w:t>
            </w:r>
          </w:p>
        </w:tc>
        <w:tc>
          <w:tcPr>
            <w:tcW w:type="dxa" w:w="2408"/>
            <w:shd w:fill="17365D"/>
          </w:tcPr>
          <w:p>
            <w:r>
              <w:rPr>
                <w:rFonts w:ascii="Noto Sans CJK SC" w:hAnsi="Noto Sans CJK SC" w:eastAsia="Noto Sans CJK SC"/>
                <w:b/>
                <w:color w:val="FFFFFF"/>
                <w:sz w:val="18"/>
              </w:rPr>
              <w:t>2024实际</w:t>
            </w:r>
          </w:p>
        </w:tc>
        <w:tc>
          <w:tcPr>
            <w:tcW w:type="dxa" w:w="2408"/>
            <w:shd w:fill="17365D"/>
          </w:tcPr>
          <w:p>
            <w:r>
              <w:rPr>
                <w:rFonts w:ascii="Noto Sans CJK SC" w:hAnsi="Noto Sans CJK SC" w:eastAsia="Noto Sans CJK SC"/>
                <w:b/>
                <w:color w:val="FFFFFF"/>
                <w:sz w:val="18"/>
              </w:rPr>
              <w:t>2025预算</w:t>
            </w:r>
          </w:p>
        </w:tc>
        <w:tc>
          <w:tcPr>
            <w:tcW w:type="dxa" w:w="2408"/>
            <w:shd w:fill="17365D"/>
          </w:tcPr>
          <w:p>
            <w:r>
              <w:rPr>
                <w:rFonts w:ascii="Noto Sans CJK SC" w:hAnsi="Noto Sans CJK SC" w:eastAsia="Noto Sans CJK SC"/>
                <w:b/>
                <w:color w:val="FFFFFF"/>
                <w:sz w:val="18"/>
              </w:rPr>
              <w:t>变化信号</w:t>
            </w:r>
          </w:p>
        </w:tc>
      </w:tr>
      <w:tr>
        <w:trPr>
          <w:cantSplit/>
        </w:trPr>
        <w:tc>
          <w:tcPr>
            <w:tcW w:type="dxa" w:w="3118"/>
            <w:tcMar>
              <w:top w:w="90" w:type="dxa"/>
              <w:start w:w="110" w:type="dxa"/>
              <w:bottom w:w="90" w:type="dxa"/>
              <w:end w:w="110" w:type="dxa"/>
            </w:tcMar>
          </w:tcPr>
          <w:p>
            <w:r>
              <w:rPr>
                <w:rFonts w:ascii="Noto Sans CJK SC" w:hAnsi="Noto Sans CJK SC" w:eastAsia="Noto Sans CJK SC"/>
                <w:b/>
                <w:sz w:val="18"/>
              </w:rPr>
              <w:t>全市政府性基金收入</w:t>
            </w:r>
          </w:p>
        </w:tc>
        <w:tc>
          <w:tcPr>
            <w:tcW w:type="dxa" w:w="1928"/>
            <w:tcMar>
              <w:top w:w="90" w:type="dxa"/>
              <w:start w:w="110" w:type="dxa"/>
              <w:bottom w:w="90" w:type="dxa"/>
              <w:end w:w="110" w:type="dxa"/>
            </w:tcMar>
          </w:tcPr>
          <w:p>
            <w:r>
              <w:rPr>
                <w:rFonts w:ascii="Noto Sans CJK SC" w:hAnsi="Noto Sans CJK SC" w:eastAsia="Noto Sans CJK SC"/>
                <w:b w:val="0"/>
                <w:sz w:val="18"/>
              </w:rPr>
              <w:t>1531.1亿元（-31.4%）</w:t>
            </w:r>
          </w:p>
        </w:tc>
        <w:tc>
          <w:tcPr>
            <w:tcW w:type="dxa" w:w="1928"/>
            <w:tcMar>
              <w:top w:w="90" w:type="dxa"/>
              <w:start w:w="110" w:type="dxa"/>
              <w:bottom w:w="90" w:type="dxa"/>
              <w:end w:w="110" w:type="dxa"/>
            </w:tcMar>
          </w:tcPr>
          <w:p>
            <w:r>
              <w:rPr>
                <w:rFonts w:ascii="Noto Sans CJK SC" w:hAnsi="Noto Sans CJK SC" w:eastAsia="Noto Sans CJK SC"/>
                <w:b w:val="0"/>
                <w:sz w:val="18"/>
              </w:rPr>
              <w:t>1375.6亿元（预算，-10.2%）</w:t>
            </w:r>
          </w:p>
        </w:tc>
        <w:tc>
          <w:tcPr>
            <w:tcW w:type="dxa" w:w="2381"/>
            <w:tcMar>
              <w:top w:w="90" w:type="dxa"/>
              <w:start w:w="110" w:type="dxa"/>
              <w:bottom w:w="90" w:type="dxa"/>
              <w:end w:w="110" w:type="dxa"/>
            </w:tcMar>
          </w:tcPr>
          <w:p>
            <w:r>
              <w:rPr>
                <w:rFonts w:ascii="Noto Sans CJK SC" w:hAnsi="Noto Sans CJK SC" w:eastAsia="Noto Sans CJK SC"/>
                <w:b w:val="0"/>
                <w:sz w:val="18"/>
              </w:rPr>
              <w:t>与土地市场高度相关的财政来源显著收缩。</w:t>
            </w:r>
          </w:p>
        </w:tc>
      </w:tr>
      <w:tr>
        <w:trPr>
          <w:cantSplit/>
        </w:trPr>
        <w:tc>
          <w:tcPr>
            <w:tcW w:type="dxa" w:w="3118"/>
            <w:tcMar>
              <w:top w:w="90" w:type="dxa"/>
              <w:start w:w="110" w:type="dxa"/>
              <w:bottom w:w="90" w:type="dxa"/>
              <w:end w:w="110" w:type="dxa"/>
            </w:tcMar>
          </w:tcPr>
          <w:p>
            <w:r>
              <w:rPr>
                <w:rFonts w:ascii="Noto Sans CJK SC" w:hAnsi="Noto Sans CJK SC" w:eastAsia="Noto Sans CJK SC"/>
                <w:b/>
                <w:sz w:val="18"/>
              </w:rPr>
              <w:t>国有土地使用权出让收入</w:t>
            </w:r>
          </w:p>
        </w:tc>
        <w:tc>
          <w:tcPr>
            <w:tcW w:type="dxa" w:w="1928"/>
            <w:tcMar>
              <w:top w:w="90" w:type="dxa"/>
              <w:start w:w="110" w:type="dxa"/>
              <w:bottom w:w="90" w:type="dxa"/>
              <w:end w:w="110" w:type="dxa"/>
            </w:tcMar>
          </w:tcPr>
          <w:p>
            <w:r>
              <w:rPr>
                <w:rFonts w:ascii="Noto Sans CJK SC" w:hAnsi="Noto Sans CJK SC" w:eastAsia="Noto Sans CJK SC"/>
                <w:b w:val="0"/>
                <w:sz w:val="18"/>
              </w:rPr>
              <w:t>1395.6亿元（-31.1%）</w:t>
            </w:r>
          </w:p>
        </w:tc>
        <w:tc>
          <w:tcPr>
            <w:tcW w:type="dxa" w:w="1928"/>
            <w:tcMar>
              <w:top w:w="90" w:type="dxa"/>
              <w:start w:w="110" w:type="dxa"/>
              <w:bottom w:w="90" w:type="dxa"/>
              <w:end w:w="110" w:type="dxa"/>
            </w:tcMar>
          </w:tcPr>
          <w:p>
            <w:r>
              <w:rPr>
                <w:rFonts w:ascii="Noto Sans CJK SC" w:hAnsi="Noto Sans CJK SC" w:eastAsia="Noto Sans CJK SC"/>
                <w:b w:val="0"/>
                <w:sz w:val="18"/>
              </w:rPr>
              <w:t>1246.1亿元（预算，-10.7%）</w:t>
            </w:r>
          </w:p>
        </w:tc>
        <w:tc>
          <w:tcPr>
            <w:tcW w:type="dxa" w:w="2381"/>
            <w:tcMar>
              <w:top w:w="90" w:type="dxa"/>
              <w:start w:w="110" w:type="dxa"/>
              <w:bottom w:w="90" w:type="dxa"/>
              <w:end w:w="110" w:type="dxa"/>
            </w:tcMar>
          </w:tcPr>
          <w:p>
            <w:r>
              <w:rPr>
                <w:rFonts w:ascii="Noto Sans CJK SC" w:hAnsi="Noto Sans CJK SC" w:eastAsia="Noto Sans CJK SC"/>
                <w:b w:val="0"/>
                <w:sz w:val="18"/>
              </w:rPr>
              <w:t>旧的“土地—建设—再开发”循环边际减弱。</w:t>
            </w:r>
          </w:p>
        </w:tc>
      </w:tr>
    </w:tbl>
    <w:tbl>
      <w:tblPr>
        <w:tblW w:type="auto" w:w="0"/>
        <w:jc w:val="center"/>
        <w:tblLayout w:type="fixed"/>
        <w:tblLook w:firstColumn="1" w:firstRow="1" w:lastColumn="0" w:lastRow="0" w:noHBand="0" w:noVBand="1" w:val="04A0"/>
      </w:tblPr>
      <w:tblGrid>
        <w:gridCol w:w="9241"/>
      </w:tblGrid>
      <w:tr>
        <w:trPr>
          <w:tblHeader w:val="true"/>
          <w:cantSplit/>
        </w:trPr>
        <w:tc>
          <w:tcPr>
            <w:tcW w:type="dxa" w:w="9632"/>
            <w:shd w:fill="EEF4FF"/>
            <w:tcMar>
              <w:top w:w="130" w:type="dxa"/>
              <w:start w:w="180" w:type="dxa"/>
              <w:bottom w:w="130" w:type="dxa"/>
              <w:end w:w="180" w:type="dxa"/>
            </w:tcMar>
          </w:tcPr>
          <w:p>
            <w:pPr>
              <w:spacing w:after="80"/>
            </w:pPr>
            <w:r>
              <w:rPr>
                <w:rFonts w:ascii="Noto Sans CJK SC" w:hAnsi="Noto Sans CJK SC" w:eastAsia="Noto Sans CJK SC"/>
                <w:b/>
                <w:color w:val="275DAD"/>
                <w:sz w:val="22"/>
              </w:rPr>
              <w:t>财政结构的长期问题</w:t>
            </w:r>
          </w:p>
          <w:p>
            <w:pPr>
              <w:spacing w:line="324" w:lineRule="auto" w:after="0"/>
            </w:pPr>
            <w:r>
              <w:rPr>
                <w:rFonts w:ascii="Noto Sans CJK SC" w:hAnsi="Noto Sans CJK SC" w:eastAsia="Noto Sans CJK SC"/>
                <w:sz w:val="21"/>
              </w:rPr>
              <w:t>城市真正需要寻找的是“可持续税源”而不是一次性收入：高附加值企业扩大 → 就业和工资增加 → 消费与利润增加 → 税收基础扩大。先进制造和生产性服务业的意义，最终要落到这条链条能否建立。</w:t>
            </w:r>
          </w:p>
        </w:tc>
      </w:tr>
    </w:tbl>
    <w:p>
      <w:pPr>
        <w:spacing w:after="0"/>
      </w:pPr>
    </w:p>
    <w:p>
      <w:pPr>
        <w:spacing w:before="0" w:after="100"/>
      </w:pPr>
      <w:r>
        <w:rPr>
          <w:rFonts w:ascii="Noto Sans CJK SC" w:hAnsi="Noto Sans CJK SC" w:eastAsia="Noto Sans CJK SC"/>
          <w:color w:val="69717D"/>
          <w:sz w:val="17"/>
        </w:rPr>
        <w:t>资料依据：[5]</w:t>
      </w:r>
    </w:p>
    <w:p>
      <w:bookmarkStart w:id="10" w:name="detail7"/>
      <w:pPr>
        <w:pStyle w:val="Heading1"/>
      </w:pPr>
      <w:r>
        <w:t>九、容易被忽视的细节（七）：从土地收入转向“上级资金＋地方债”的过渡</w:t>
      </w:r>
      <w:bookmarkEnd w:id="10"/>
    </w:p>
    <w:p>
      <w:pPr>
        <w:spacing w:after="100" w:line="348" w:lineRule="auto"/>
      </w:pPr>
      <w:r>
        <w:rPr>
          <w:rFonts w:ascii="Noto Sans CJK SC" w:hAnsi="Noto Sans CJK SC" w:eastAsia="Noto Sans CJK SC"/>
        </w:rPr>
        <w:t>2025年工作报告要求对中央预算内投资、超长期特别国债、专项债等资金“应争尽争、能多则多”，并争取额度保持全省第一。财政数据则显示，杭州地方政府债务余额从2023年末3867.1亿元增加到2024年末4464.9亿元，再到2025年末5089.8亿元。</w:t>
      </w:r>
    </w:p>
    <w:p>
      <w:pPr>
        <w:spacing w:after="100" w:line="348" w:lineRule="auto"/>
      </w:pPr>
      <w:r>
        <w:rPr>
          <w:rFonts w:ascii="Noto Sans CJK SC" w:hAnsi="Noto Sans CJK SC" w:eastAsia="Noto Sans CJK SC"/>
        </w:rPr>
        <w:t>这不等同于“债务失控”：2025年末余额没有超过省核定的5090亿元限额。但它说明，在土地相关收入下降、城市仍需大量基础设施和产业投资的阶段，地方债与上级资金的重要性显著上升。</w:t>
      </w:r>
    </w:p>
    <w:p>
      <w:pPr>
        <w:jc w:val="center"/>
      </w:pPr>
      <w:r>
        <w:drawing>
          <wp:inline xmlns:a="http://schemas.openxmlformats.org/drawingml/2006/main" xmlns:pic="http://schemas.openxmlformats.org/drawingml/2006/picture">
            <wp:extent cx="4896000" cy="2413521"/>
            <wp:docPr id="1" name="Picture 1"/>
            <wp:cNvGraphicFramePr>
              <a:graphicFrameLocks noChangeAspect="1"/>
            </wp:cNvGraphicFramePr>
            <a:graphic>
              <a:graphicData uri="http://schemas.openxmlformats.org/drawingml/2006/picture">
                <pic:pic>
                  <pic:nvPicPr>
                    <pic:cNvPr id="0" name="hz_debt.png"/>
                    <pic:cNvPicPr/>
                  </pic:nvPicPr>
                  <pic:blipFill>
                    <a:blip r:embed="rId13"/>
                    <a:stretch>
                      <a:fillRect/>
                    </a:stretch>
                  </pic:blipFill>
                  <pic:spPr>
                    <a:xfrm>
                      <a:off x="0" y="0"/>
                      <a:ext cx="4896000" cy="2413521"/>
                    </a:xfrm>
                    <a:prstGeom prst="rect"/>
                  </pic:spPr>
                </pic:pic>
              </a:graphicData>
            </a:graphic>
          </wp:inline>
        </w:drawing>
      </w:r>
    </w:p>
    <w:p>
      <w:pPr>
        <w:jc w:val="center"/>
      </w:pPr>
      <w:r>
        <w:rPr>
          <w:rFonts w:ascii="Noto Sans CJK SC" w:hAnsi="Noto Sans CJK SC" w:eastAsia="Noto Sans CJK SC"/>
          <w:color w:val="69717D"/>
          <w:sz w:val="17"/>
        </w:rPr>
        <w:t>图1  杭州市地方政府债务余额（2023—2025年，亿元）</w:t>
      </w:r>
    </w:p>
    <w:tbl>
      <w:tblPr>
        <w:tblW w:type="auto" w:w="0"/>
        <w:jc w:val="center"/>
        <w:tblLayout w:type="fixed"/>
        <w:tblLook w:firstColumn="1" w:firstRow="1" w:lastColumn="0" w:lastRow="0" w:noHBand="0" w:noVBand="1" w:val="04A0"/>
      </w:tblPr>
      <w:tblGrid>
        <w:gridCol w:w="9241"/>
      </w:tblGrid>
      <w:tr>
        <w:trPr>
          <w:tblHeader w:val="true"/>
          <w:cantSplit/>
        </w:trPr>
        <w:tc>
          <w:tcPr>
            <w:tcW w:type="dxa" w:w="9632"/>
            <w:shd w:fill="FFF8E8"/>
            <w:tcMar>
              <w:top w:w="130" w:type="dxa"/>
              <w:start w:w="180" w:type="dxa"/>
              <w:bottom w:w="130" w:type="dxa"/>
              <w:end w:w="180" w:type="dxa"/>
            </w:tcMar>
          </w:tcPr>
          <w:p>
            <w:pPr>
              <w:spacing w:after="80"/>
            </w:pPr>
            <w:r>
              <w:rPr>
                <w:rFonts w:ascii="Noto Sans CJK SC" w:hAnsi="Noto Sans CJK SC" w:eastAsia="Noto Sans CJK SC"/>
                <w:b/>
                <w:color w:val="A86A00"/>
                <w:sz w:val="22"/>
              </w:rPr>
              <w:t>关键判断标准</w:t>
            </w:r>
          </w:p>
          <w:p>
            <w:pPr>
              <w:spacing w:line="324" w:lineRule="auto" w:after="0"/>
            </w:pPr>
            <w:r>
              <w:rPr>
                <w:rFonts w:ascii="Noto Sans CJK SC" w:hAnsi="Noto Sans CJK SC" w:eastAsia="Noto Sans CJK SC"/>
                <w:sz w:val="21"/>
              </w:rPr>
              <w:t>未来重要的不是“有没有发债”，而是新增债务形成了什么资产、能否带来产业与税收、项目现金流是否可持续。如果债务支持的是高使用率基础设施和能形成产业外部性的项目，它更接近生产性负债；如果长期缺少利用率与回报，则财政压力会逐步显性化。</w:t>
            </w:r>
          </w:p>
        </w:tc>
      </w:tr>
    </w:tbl>
    <w:p>
      <w:pPr>
        <w:spacing w:after="0"/>
      </w:pPr>
    </w:p>
    <w:p>
      <w:pPr>
        <w:spacing w:before="0" w:after="100"/>
      </w:pPr>
      <w:r>
        <w:rPr>
          <w:rFonts w:ascii="Noto Sans CJK SC" w:hAnsi="Noto Sans CJK SC" w:eastAsia="Noto Sans CJK SC"/>
          <w:color w:val="69717D"/>
          <w:sz w:val="17"/>
        </w:rPr>
        <w:t>资料依据：[1]、[6]</w:t>
      </w:r>
    </w:p>
    <w:p>
      <w:bookmarkStart w:id="11" w:name="detail8"/>
      <w:pPr>
        <w:pStyle w:val="Heading1"/>
      </w:pPr>
      <w:r>
        <w:t>十、容易被忽视的细节（八）：房地产的角色从“增长发动机”转向“稳定器与城市更新载体”</w:t>
      </w:r>
      <w:bookmarkEnd w:id="11"/>
    </w:p>
    <w:p>
      <w:pPr>
        <w:spacing w:after="100" w:line="348" w:lineRule="auto"/>
      </w:pPr>
      <w:r>
        <w:rPr>
          <w:rFonts w:ascii="Noto Sans CJK SC" w:hAnsi="Noto Sans CJK SC" w:eastAsia="Noto Sans CJK SC"/>
        </w:rPr>
        <w:t>2025年报告对房地产的核心表述是“释放刚性和改善性住房需求”“保交房”“好房子”“人房地钱联动”“构建房地产发展新模式”。与此同时，报告把保障房、城中村改造、老旧小区更新和城市更新放在更大的城市治理框架中。</w:t>
      </w:r>
    </w:p>
    <w:p>
      <w:pPr>
        <w:spacing w:after="100" w:line="348" w:lineRule="auto"/>
      </w:pPr>
      <w:r>
        <w:rPr>
          <w:rFonts w:ascii="Noto Sans CJK SC" w:hAnsi="Noto Sans CJK SC" w:eastAsia="Noto Sans CJK SC"/>
        </w:rPr>
        <w:t>这组措辞显示，政策目标更接近“稳定市场＋提高住房品质＋调整供需匹配”，而不是恢复过去依靠高周转房地产开发和土地出让拉动城市投资的单一模式。</w:t>
      </w:r>
    </w:p>
    <w:tbl>
      <w:tblPr>
        <w:tblW w:type="auto" w:w="0"/>
        <w:jc w:val="center"/>
        <w:tblLayout w:type="fixed"/>
        <w:tblLook w:firstColumn="1" w:firstRow="1" w:lastColumn="0" w:lastRow="0" w:noHBand="0" w:noVBand="1" w:val="04A0"/>
      </w:tblPr>
      <w:tblGrid>
        <w:gridCol w:w="9241"/>
      </w:tblGrid>
      <w:tr>
        <w:trPr>
          <w:tblHeader w:val="true"/>
          <w:cantSplit/>
        </w:trPr>
        <w:tc>
          <w:tcPr>
            <w:tcW w:type="dxa" w:w="9632"/>
            <w:shd w:fill="EEF4FF"/>
            <w:tcMar>
              <w:top w:w="130" w:type="dxa"/>
              <w:start w:w="180" w:type="dxa"/>
              <w:bottom w:w="130" w:type="dxa"/>
              <w:end w:w="180" w:type="dxa"/>
            </w:tcMar>
          </w:tcPr>
          <w:p>
            <w:pPr>
              <w:spacing w:after="80"/>
            </w:pPr>
            <w:r>
              <w:rPr>
                <w:rFonts w:ascii="Noto Sans CJK SC" w:hAnsi="Noto Sans CJK SC" w:eastAsia="Noto Sans CJK SC"/>
                <w:b/>
                <w:color w:val="275DAD"/>
                <w:sz w:val="22"/>
              </w:rPr>
              <w:t>角色变化</w:t>
            </w:r>
          </w:p>
          <w:p>
            <w:pPr>
              <w:spacing w:line="324" w:lineRule="auto" w:after="0"/>
            </w:pPr>
            <w:r>
              <w:rPr>
                <w:rFonts w:ascii="Noto Sans CJK SC" w:hAnsi="Noto Sans CJK SC" w:eastAsia="Noto Sans CJK SC"/>
                <w:sz w:val="21"/>
              </w:rPr>
              <w:t>旧模式中，房地产同时承担投资发动机、土地财政来源、居民财富载体和城市扩张工具；新阶段更强调居住、改善、更新和风险稳定。房地产不会退出杭州经济，但其“边际主导地位”正在下降。</w:t>
            </w:r>
          </w:p>
        </w:tc>
      </w:tr>
    </w:tbl>
    <w:p>
      <w:pPr>
        <w:spacing w:after="0"/>
      </w:pPr>
    </w:p>
    <w:p>
      <w:pPr>
        <w:spacing w:before="0" w:after="100"/>
      </w:pPr>
      <w:r>
        <w:rPr>
          <w:rFonts w:ascii="Noto Sans CJK SC" w:hAnsi="Noto Sans CJK SC" w:eastAsia="Noto Sans CJK SC"/>
          <w:color w:val="69717D"/>
          <w:sz w:val="17"/>
        </w:rPr>
        <w:t>资料依据：[1]、[5]</w:t>
      </w:r>
    </w:p>
    <w:p>
      <w:bookmarkStart w:id="12" w:name="detail9"/>
      <w:pPr>
        <w:pStyle w:val="Heading1"/>
      </w:pPr>
      <w:r>
        <w:t>十一、容易被忽视的细节（九）：营商环境已经从“审批便利”进入“要素配置”</w:t>
      </w:r>
      <w:bookmarkEnd w:id="12"/>
    </w:p>
    <w:p>
      <w:pPr>
        <w:spacing w:after="100" w:line="348" w:lineRule="auto"/>
      </w:pPr>
      <w:r>
        <w:rPr>
          <w:rFonts w:ascii="Noto Sans CJK SC" w:hAnsi="Noto Sans CJK SC" w:eastAsia="Noto Sans CJK SC"/>
        </w:rPr>
        <w:t>报告不仅写“支持民营经济”，而是对资源配置作出具体约束：新出让工业用地中，民间投资项目占比不低于80%；新增能耗支持民间投资项目比重不低于80%；力争民间投资占比达到50%。这说明杭州对“民间投资活力不足”的诊断，已经从企业办事效率延伸到企业能否真正拿到生产要素。</w:t>
      </w:r>
    </w:p>
    <w:p>
      <w:pPr>
        <w:spacing w:after="100" w:line="348" w:lineRule="auto"/>
      </w:pPr>
      <w:r>
        <w:rPr>
          <w:rFonts w:ascii="Noto Sans CJK SC" w:hAnsi="Noto Sans CJK SC" w:eastAsia="Noto Sans CJK SC"/>
        </w:rPr>
        <w:t>对制造业企业来说，最核心的问题往往不是“少盖一个章”，而是有没有土地、能源、融资、产业空间和进入重大项目的机会。因此，从“最多跑一次”式营商环境升级到“要素可得性”，是政策成熟度的一次变化。</w:t>
      </w:r>
    </w:p>
    <w:tbl>
      <w:tblPr>
        <w:tblW w:type="auto" w:w="0"/>
        <w:jc w:val="center"/>
        <w:tblLayout w:type="fixed"/>
        <w:tblLook w:firstColumn="1" w:firstRow="1" w:lastColumn="0" w:lastRow="0" w:noHBand="0" w:noVBand="1" w:val="04A0"/>
      </w:tblPr>
      <w:tblGrid>
        <w:gridCol w:w="9241"/>
      </w:tblGrid>
      <w:tr>
        <w:trPr>
          <w:tblHeader w:val="true"/>
          <w:cantSplit/>
        </w:trPr>
        <w:tc>
          <w:tcPr>
            <w:tcW w:type="dxa" w:w="9632"/>
            <w:shd w:fill="EEF4FF"/>
            <w:tcMar>
              <w:top w:w="130" w:type="dxa"/>
              <w:start w:w="180" w:type="dxa"/>
              <w:bottom w:w="130" w:type="dxa"/>
              <w:end w:w="180" w:type="dxa"/>
            </w:tcMar>
          </w:tcPr>
          <w:p>
            <w:pPr>
              <w:spacing w:after="80"/>
            </w:pPr>
            <w:r>
              <w:rPr>
                <w:rFonts w:ascii="Noto Sans CJK SC" w:hAnsi="Noto Sans CJK SC" w:eastAsia="Noto Sans CJK SC"/>
                <w:b/>
                <w:color w:val="275DAD"/>
                <w:sz w:val="22"/>
              </w:rPr>
              <w:t>值得持续验证</w:t>
            </w:r>
          </w:p>
          <w:p>
            <w:pPr>
              <w:spacing w:line="324" w:lineRule="auto" w:after="0"/>
            </w:pPr>
            <w:r>
              <w:rPr>
                <w:rFonts w:ascii="Noto Sans CJK SC" w:hAnsi="Noto Sans CJK SC" w:eastAsia="Noto Sans CJK SC"/>
                <w:sz w:val="21"/>
              </w:rPr>
              <w:t>真正需要观察的不是文件里的80%，而是不同规模民企是否能获得同等信息、申请门槛是否透明、土地和能耗是否向少数头部企业过度集中，以及民企投资意愿能否因此真正恢复。</w:t>
            </w:r>
          </w:p>
        </w:tc>
      </w:tr>
    </w:tbl>
    <w:p>
      <w:pPr>
        <w:spacing w:after="0"/>
      </w:pPr>
    </w:p>
    <w:p>
      <w:pPr>
        <w:spacing w:before="0" w:after="100"/>
      </w:pPr>
      <w:r>
        <w:rPr>
          <w:rFonts w:ascii="Noto Sans CJK SC" w:hAnsi="Noto Sans CJK SC" w:eastAsia="Noto Sans CJK SC"/>
          <w:color w:val="69717D"/>
          <w:sz w:val="17"/>
        </w:rPr>
        <w:t>资料依据：[1]</w:t>
      </w:r>
    </w:p>
    <w:p>
      <w:bookmarkStart w:id="13" w:name="detail10"/>
      <w:pPr>
        <w:pStyle w:val="Heading1"/>
      </w:pPr>
      <w:r>
        <w:t>十二、容易被忽视的细节（十）：杭州擅长“制造消费场景”，但场景不能替代收入</w:t>
      </w:r>
      <w:bookmarkEnd w:id="13"/>
    </w:p>
    <w:p>
      <w:pPr>
        <w:spacing w:after="100" w:line="348" w:lineRule="auto"/>
      </w:pPr>
      <w:r>
        <w:rPr>
          <w:rFonts w:ascii="Noto Sans CJK SC" w:hAnsi="Noto Sans CJK SC" w:eastAsia="Noto Sans CJK SC"/>
        </w:rPr>
        <w:t>杭州2025年的消费政策具有很强的城市特色：以旧换新、演唱会、音乐会、体育赛事、首发经济、夜间经济、IP经济、银发经济、小店经济、入境游和离境退税共同构成“场景型刺激”。报告提出力争通过以旧换新等拉动消费1000亿元以上，并带动社会消费品零售总额增长5%左右。</w:t>
      </w:r>
    </w:p>
    <w:p>
      <w:pPr>
        <w:spacing w:after="100" w:line="348" w:lineRule="auto"/>
      </w:pPr>
      <w:r>
        <w:rPr>
          <w:rFonts w:ascii="Noto Sans CJK SC" w:hAnsi="Noto Sans CJK SC" w:eastAsia="Noto Sans CJK SC"/>
        </w:rPr>
        <w:t>实际结果是，2025年社会消费品零售总额9499亿元，同比增长3.8%，低于报告提出的5%左右。说明赛事、文旅、IP和补贴可以有效提高局部消费热度，却无法完全替代居民可支配收入预期、住房资产预期和就业安全感的改善。</w:t>
      </w:r>
    </w:p>
    <w:tbl>
      <w:tblPr>
        <w:tblW w:type="auto" w:w="0"/>
        <w:jc w:val="center"/>
        <w:tblLayout w:type="fixed"/>
        <w:tblLook w:firstColumn="1" w:firstRow="1" w:lastColumn="0" w:lastRow="0" w:noHBand="0" w:noVBand="1" w:val="04A0"/>
      </w:tblPr>
      <w:tblGrid>
        <w:gridCol w:w="9241"/>
      </w:tblGrid>
      <w:tr>
        <w:trPr>
          <w:tblHeader w:val="true"/>
          <w:cantSplit/>
        </w:trPr>
        <w:tc>
          <w:tcPr>
            <w:tcW w:type="dxa" w:w="9632"/>
            <w:shd w:fill="EEF4FF"/>
            <w:tcMar>
              <w:top w:w="130" w:type="dxa"/>
              <w:start w:w="180" w:type="dxa"/>
              <w:bottom w:w="130" w:type="dxa"/>
              <w:end w:w="180" w:type="dxa"/>
            </w:tcMar>
          </w:tcPr>
          <w:p>
            <w:pPr>
              <w:spacing w:after="80"/>
            </w:pPr>
            <w:r>
              <w:rPr>
                <w:rFonts w:ascii="Noto Sans CJK SC" w:hAnsi="Noto Sans CJK SC" w:eastAsia="Noto Sans CJK SC"/>
                <w:b/>
                <w:color w:val="275DAD"/>
                <w:sz w:val="22"/>
              </w:rPr>
              <w:t>结构性启示</w:t>
            </w:r>
          </w:p>
          <w:p>
            <w:pPr>
              <w:spacing w:line="324" w:lineRule="auto" w:after="0"/>
            </w:pPr>
            <w:r>
              <w:rPr>
                <w:rFonts w:ascii="Noto Sans CJK SC" w:hAnsi="Noto Sans CJK SC" w:eastAsia="Noto Sans CJK SC"/>
                <w:sz w:val="21"/>
              </w:rPr>
              <w:t>“流量很多”不等于“消费全面强”。演唱会、赛事和旅游更能拉动餐饮、住宿、交通、零售等场景，但耐用品消费与日常消费最终仍受收入、家庭资产负债表和预期影响。</w:t>
            </w:r>
          </w:p>
        </w:tc>
      </w:tr>
    </w:tbl>
    <w:p>
      <w:pPr>
        <w:spacing w:after="0"/>
      </w:pPr>
    </w:p>
    <w:p>
      <w:pPr>
        <w:spacing w:before="0" w:after="100"/>
      </w:pPr>
      <w:r>
        <w:rPr>
          <w:rFonts w:ascii="Noto Sans CJK SC" w:hAnsi="Noto Sans CJK SC" w:eastAsia="Noto Sans CJK SC"/>
          <w:color w:val="69717D"/>
          <w:sz w:val="17"/>
        </w:rPr>
        <w:t>资料依据：[1]、[3]</w:t>
      </w:r>
    </w:p>
    <w:p>
      <w:bookmarkStart w:id="14" w:name="detail11"/>
      <w:pPr>
        <w:pStyle w:val="Heading1"/>
      </w:pPr>
      <w:r>
        <w:t>十三、容易被忽视的细节（十一）：出口强、外资弱，是两个不同的全球化信号</w:t>
      </w:r>
      <w:bookmarkEnd w:id="14"/>
    </w:p>
    <w:p>
      <w:pPr>
        <w:spacing w:after="100" w:line="348" w:lineRule="auto"/>
      </w:pPr>
      <w:r>
        <w:rPr>
          <w:rFonts w:ascii="Noto Sans CJK SC" w:hAnsi="Noto Sans CJK SC" w:eastAsia="Noto Sans CJK SC"/>
        </w:rPr>
        <w:t>2025年报告提出实际利用外资70亿美元，并要求制造业利用外资占比35%以上。全年实际利用外资约35.0亿美元，同比下降46.4%；与此同时，货物出口达到6469亿元，同比增长8.7%。</w:t>
      </w:r>
    </w:p>
    <w:p>
      <w:pPr>
        <w:spacing w:after="100" w:line="348" w:lineRule="auto"/>
      </w:pPr>
      <w:r>
        <w:rPr>
          <w:rFonts w:ascii="Noto Sans CJK SC" w:hAnsi="Noto Sans CJK SC" w:eastAsia="Noto Sans CJK SC"/>
        </w:rPr>
        <w:t>这意味着“杭州企业能否把产品和服务卖向全球”与“国际资本是否愿意在杭州新增长期投资”出现明显分化。前者仍然强，后者承压。杭州因此更加重视全球数贸港、数字自贸试验区、跨境支付、服务业开放和国际规则参与，其功能不只是城市形象，而是在争夺全球资本、企业与高端生产要素。</w:t>
      </w:r>
    </w:p>
    <w:p>
      <w:pPr>
        <w:pStyle w:val="Heading2"/>
      </w:pPr>
      <w:r>
        <w:t>2025年开放指标的分化</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268"/>
        <w:gridCol w:w="1928"/>
        <w:gridCol w:w="1928"/>
        <w:gridCol w:w="3061"/>
      </w:tblGrid>
      <w:tr>
        <w:trPr>
          <w:tblHeader w:val="true"/>
          <w:cantSplit/>
        </w:trPr>
        <w:tc>
          <w:tcPr>
            <w:tcW w:type="dxa" w:w="2408"/>
            <w:shd w:fill="275DAD"/>
          </w:tcPr>
          <w:p>
            <w:r>
              <w:rPr>
                <w:rFonts w:ascii="Noto Sans CJK SC" w:hAnsi="Noto Sans CJK SC" w:eastAsia="Noto Sans CJK SC"/>
                <w:b/>
                <w:color w:val="FFFFFF"/>
                <w:sz w:val="18"/>
              </w:rPr>
              <w:t>指标</w:t>
            </w:r>
          </w:p>
        </w:tc>
        <w:tc>
          <w:tcPr>
            <w:tcW w:type="dxa" w:w="2408"/>
            <w:shd w:fill="275DAD"/>
          </w:tcPr>
          <w:p>
            <w:r>
              <w:rPr>
                <w:rFonts w:ascii="Noto Sans CJK SC" w:hAnsi="Noto Sans CJK SC" w:eastAsia="Noto Sans CJK SC"/>
                <w:b/>
                <w:color w:val="FFFFFF"/>
                <w:sz w:val="18"/>
              </w:rPr>
              <w:t>目标/基准</w:t>
            </w:r>
          </w:p>
        </w:tc>
        <w:tc>
          <w:tcPr>
            <w:tcW w:type="dxa" w:w="2408"/>
            <w:shd w:fill="275DAD"/>
          </w:tcPr>
          <w:p>
            <w:r>
              <w:rPr>
                <w:rFonts w:ascii="Noto Sans CJK SC" w:hAnsi="Noto Sans CJK SC" w:eastAsia="Noto Sans CJK SC"/>
                <w:b/>
                <w:color w:val="FFFFFF"/>
                <w:sz w:val="18"/>
              </w:rPr>
              <w:t>2025实际</w:t>
            </w:r>
          </w:p>
        </w:tc>
        <w:tc>
          <w:tcPr>
            <w:tcW w:type="dxa" w:w="2408"/>
            <w:shd w:fill="275DAD"/>
          </w:tcPr>
          <w:p>
            <w:r>
              <w:rPr>
                <w:rFonts w:ascii="Noto Sans CJK SC" w:hAnsi="Noto Sans CJK SC" w:eastAsia="Noto Sans CJK SC"/>
                <w:b/>
                <w:color w:val="FFFFFF"/>
                <w:sz w:val="18"/>
              </w:rPr>
              <w:t>解释</w:t>
            </w:r>
          </w:p>
        </w:tc>
      </w:tr>
      <w:tr>
        <w:trPr>
          <w:cantSplit/>
        </w:trPr>
        <w:tc>
          <w:tcPr>
            <w:tcW w:type="dxa" w:w="2268"/>
            <w:tcMar>
              <w:top w:w="90" w:type="dxa"/>
              <w:start w:w="110" w:type="dxa"/>
              <w:bottom w:w="90" w:type="dxa"/>
              <w:end w:w="110" w:type="dxa"/>
            </w:tcMar>
          </w:tcPr>
          <w:p>
            <w:r>
              <w:rPr>
                <w:rFonts w:ascii="Noto Sans CJK SC" w:hAnsi="Noto Sans CJK SC" w:eastAsia="Noto Sans CJK SC"/>
                <w:sz w:val="18"/>
              </w:rPr>
              <w:t>实际利用外资</w:t>
            </w:r>
          </w:p>
        </w:tc>
        <w:tc>
          <w:tcPr>
            <w:tcW w:type="dxa" w:w="1928"/>
            <w:tcMar>
              <w:top w:w="90" w:type="dxa"/>
              <w:start w:w="110" w:type="dxa"/>
              <w:bottom w:w="90" w:type="dxa"/>
              <w:end w:w="110" w:type="dxa"/>
            </w:tcMar>
          </w:tcPr>
          <w:p>
            <w:r>
              <w:rPr>
                <w:rFonts w:ascii="Noto Sans CJK SC" w:hAnsi="Noto Sans CJK SC" w:eastAsia="Noto Sans CJK SC"/>
                <w:sz w:val="18"/>
              </w:rPr>
              <w:t>目标70亿美元</w:t>
            </w:r>
          </w:p>
        </w:tc>
        <w:tc>
          <w:tcPr>
            <w:tcW w:type="dxa" w:w="1928"/>
            <w:tcMar>
              <w:top w:w="90" w:type="dxa"/>
              <w:start w:w="110" w:type="dxa"/>
              <w:bottom w:w="90" w:type="dxa"/>
              <w:end w:w="110" w:type="dxa"/>
            </w:tcMar>
          </w:tcPr>
          <w:p>
            <w:r>
              <w:rPr>
                <w:rFonts w:ascii="Noto Sans CJK SC" w:hAnsi="Noto Sans CJK SC" w:eastAsia="Noto Sans CJK SC"/>
                <w:sz w:val="18"/>
              </w:rPr>
              <w:t>约35.0亿美元（-46.4%）</w:t>
            </w:r>
          </w:p>
        </w:tc>
        <w:tc>
          <w:tcPr>
            <w:tcW w:type="dxa" w:w="3061"/>
            <w:tcMar>
              <w:top w:w="90" w:type="dxa"/>
              <w:start w:w="110" w:type="dxa"/>
              <w:bottom w:w="90" w:type="dxa"/>
              <w:end w:w="110" w:type="dxa"/>
            </w:tcMar>
          </w:tcPr>
          <w:p>
            <w:r>
              <w:rPr>
                <w:rFonts w:ascii="Noto Sans CJK SC" w:hAnsi="Noto Sans CJK SC" w:eastAsia="Noto Sans CJK SC"/>
                <w:sz w:val="18"/>
              </w:rPr>
              <w:t>长期资本进入明显弱于目标。</w:t>
            </w:r>
          </w:p>
        </w:tc>
      </w:tr>
      <w:tr>
        <w:trPr>
          <w:cantSplit/>
        </w:trPr>
        <w:tc>
          <w:tcPr>
            <w:tcW w:type="dxa" w:w="2268"/>
            <w:tcMar>
              <w:top w:w="90" w:type="dxa"/>
              <w:start w:w="110" w:type="dxa"/>
              <w:bottom w:w="90" w:type="dxa"/>
              <w:end w:w="110" w:type="dxa"/>
            </w:tcMar>
          </w:tcPr>
          <w:p>
            <w:r>
              <w:rPr>
                <w:rFonts w:ascii="Noto Sans CJK SC" w:hAnsi="Noto Sans CJK SC" w:eastAsia="Noto Sans CJK SC"/>
                <w:sz w:val="18"/>
              </w:rPr>
              <w:t>货物出口</w:t>
            </w:r>
          </w:p>
        </w:tc>
        <w:tc>
          <w:tcPr>
            <w:tcW w:type="dxa" w:w="1928"/>
            <w:tcMar>
              <w:top w:w="90" w:type="dxa"/>
              <w:start w:w="110" w:type="dxa"/>
              <w:bottom w:w="90" w:type="dxa"/>
              <w:end w:w="110" w:type="dxa"/>
            </w:tcMar>
          </w:tcPr>
          <w:p>
            <w:r>
              <w:rPr>
                <w:rFonts w:ascii="Noto Sans CJK SC" w:hAnsi="Noto Sans CJK SC" w:eastAsia="Noto Sans CJK SC"/>
                <w:sz w:val="18"/>
              </w:rPr>
              <w:t>保持全国份额</w:t>
            </w:r>
          </w:p>
        </w:tc>
        <w:tc>
          <w:tcPr>
            <w:tcW w:type="dxa" w:w="1928"/>
            <w:tcMar>
              <w:top w:w="90" w:type="dxa"/>
              <w:start w:w="110" w:type="dxa"/>
              <w:bottom w:w="90" w:type="dxa"/>
              <w:end w:w="110" w:type="dxa"/>
            </w:tcMar>
          </w:tcPr>
          <w:p>
            <w:r>
              <w:rPr>
                <w:rFonts w:ascii="Noto Sans CJK SC" w:hAnsi="Noto Sans CJK SC" w:eastAsia="Noto Sans CJK SC"/>
                <w:sz w:val="18"/>
              </w:rPr>
              <w:t>6469亿元（+8.7%）</w:t>
            </w:r>
          </w:p>
        </w:tc>
        <w:tc>
          <w:tcPr>
            <w:tcW w:type="dxa" w:w="3061"/>
            <w:tcMar>
              <w:top w:w="90" w:type="dxa"/>
              <w:start w:w="110" w:type="dxa"/>
              <w:bottom w:w="90" w:type="dxa"/>
              <w:end w:w="110" w:type="dxa"/>
            </w:tcMar>
          </w:tcPr>
          <w:p>
            <w:r>
              <w:rPr>
                <w:rFonts w:ascii="Noto Sans CJK SC" w:hAnsi="Noto Sans CJK SC" w:eastAsia="Noto Sans CJK SC"/>
                <w:sz w:val="18"/>
              </w:rPr>
              <w:t>企业产品与供应链的外向竞争力仍较强。</w:t>
            </w:r>
          </w:p>
        </w:tc>
      </w:tr>
    </w:tbl>
    <w:p>
      <w:pPr>
        <w:spacing w:before="0" w:after="100"/>
      </w:pPr>
      <w:r>
        <w:rPr>
          <w:rFonts w:ascii="Noto Sans CJK SC" w:hAnsi="Noto Sans CJK SC" w:eastAsia="Noto Sans CJK SC"/>
          <w:color w:val="69717D"/>
          <w:sz w:val="17"/>
        </w:rPr>
        <w:t>资料依据：[1]、[3]、[7]</w:t>
      </w:r>
    </w:p>
    <w:p>
      <w:bookmarkStart w:id="15" w:name="detail12"/>
      <w:pPr>
        <w:pStyle w:val="Heading1"/>
      </w:pPr>
      <w:r>
        <w:t>十四、容易被忽视的细节（十二）：人口不是“多或少”，而是空间与年龄结构重排</w:t>
      </w:r>
      <w:bookmarkEnd w:id="15"/>
    </w:p>
    <w:p>
      <w:pPr>
        <w:spacing w:after="100" w:line="348" w:lineRule="auto"/>
      </w:pPr>
      <w:r>
        <w:rPr>
          <w:rFonts w:ascii="Noto Sans CJK SC" w:hAnsi="Noto Sans CJK SC" w:eastAsia="Noto Sans CJK SC"/>
        </w:rPr>
        <w:t>杭州持续大量吸引年轻人才：2024年新引进35岁以下大学生40.1万人，2025年报告继续提出35万人以上。与此同时，杭州又在托育、生育支持、养老、普通高中扩容和公共服务均等化上持续加码。</w:t>
      </w:r>
    </w:p>
    <w:p>
      <w:pPr>
        <w:spacing w:after="100" w:line="348" w:lineRule="auto"/>
      </w:pPr>
      <w:r>
        <w:rPr>
          <w:rFonts w:ascii="Noto Sans CJK SC" w:hAnsi="Noto Sans CJK SC" w:eastAsia="Noto Sans CJK SC"/>
        </w:rPr>
        <w:t>这并不矛盾。杭州面对的不是简单的人口增长或减少，而是“年轻人口高流入＋本地低生育＋老龄化＋不同区县人口增减不均＋学龄人口结构变化”。这种结构最容易造成公共服务错配：核心城区可能缺高中、托育和住房，一些外围地区则可能出现学校和公共设施利用率下降。</w:t>
      </w:r>
    </w:p>
    <w:p>
      <w:pPr>
        <w:spacing w:after="100" w:line="348" w:lineRule="auto"/>
      </w:pPr>
      <w:r>
        <w:rPr>
          <w:rFonts w:ascii="Noto Sans CJK SC" w:hAnsi="Noto Sans CJK SC" w:eastAsia="Noto Sans CJK SC"/>
        </w:rPr>
        <w:t>2026年官方复盘进一步提出“公共服务资源配置跟不上人口结构变化”，从侧面验证了这一问题。</w:t>
      </w:r>
    </w:p>
    <w:tbl>
      <w:tblPr>
        <w:tblW w:type="auto" w:w="0"/>
        <w:jc w:val="center"/>
        <w:tblLayout w:type="fixed"/>
        <w:tblLook w:firstColumn="1" w:firstRow="1" w:lastColumn="0" w:lastRow="0" w:noHBand="0" w:noVBand="1" w:val="04A0"/>
      </w:tblPr>
      <w:tblGrid>
        <w:gridCol w:w="9241"/>
      </w:tblGrid>
      <w:tr>
        <w:trPr>
          <w:tblHeader w:val="true"/>
          <w:cantSplit/>
        </w:trPr>
        <w:tc>
          <w:tcPr>
            <w:tcW w:type="dxa" w:w="9632"/>
            <w:shd w:fill="EEF4FF"/>
            <w:tcMar>
              <w:top w:w="130" w:type="dxa"/>
              <w:start w:w="180" w:type="dxa"/>
              <w:bottom w:w="130" w:type="dxa"/>
              <w:end w:w="180" w:type="dxa"/>
            </w:tcMar>
          </w:tcPr>
          <w:p>
            <w:pPr>
              <w:spacing w:after="80"/>
            </w:pPr>
            <w:r>
              <w:rPr>
                <w:rFonts w:ascii="Noto Sans CJK SC" w:hAnsi="Noto Sans CJK SC" w:eastAsia="Noto Sans CJK SC"/>
                <w:b/>
                <w:color w:val="275DAD"/>
                <w:sz w:val="22"/>
              </w:rPr>
              <w:t>未来治理难题</w:t>
            </w:r>
          </w:p>
          <w:p>
            <w:pPr>
              <w:spacing w:line="324" w:lineRule="auto" w:after="0"/>
            </w:pPr>
            <w:r>
              <w:rPr>
                <w:rFonts w:ascii="Noto Sans CJK SC" w:hAnsi="Noto Sans CJK SC" w:eastAsia="Noto Sans CJK SC"/>
                <w:sz w:val="21"/>
              </w:rPr>
              <w:t>超大城市治理的难点将逐步从“有没有公共设施”转向“公共设施应该在哪里、服务哪个年龄段、是否能随人口迁移动态调整”。这要求教育、医疗、养老与住房规划使用更高频的人口数据，而不是按过去的行政区静态配置。</w:t>
            </w:r>
          </w:p>
        </w:tc>
      </w:tr>
    </w:tbl>
    <w:p>
      <w:pPr>
        <w:spacing w:after="0"/>
      </w:pPr>
    </w:p>
    <w:p>
      <w:pPr>
        <w:spacing w:before="0" w:after="100"/>
      </w:pPr>
      <w:r>
        <w:rPr>
          <w:rFonts w:ascii="Noto Sans CJK SC" w:hAnsi="Noto Sans CJK SC" w:eastAsia="Noto Sans CJK SC"/>
          <w:color w:val="69717D"/>
          <w:sz w:val="17"/>
        </w:rPr>
        <w:t>资料依据：[1]、[4]</w:t>
      </w:r>
    </w:p>
    <w:p>
      <w:bookmarkStart w:id="16" w:name="score"/>
      <w:pPr>
        <w:pStyle w:val="Heading1"/>
      </w:pPr>
      <w:r>
        <w:t>十五、用2025年实际结果反向检验：哪些目标完成，哪些明显承压</w:t>
      </w:r>
      <w:bookmarkEnd w:id="16"/>
    </w:p>
    <w:p>
      <w:pPr>
        <w:spacing w:after="100" w:line="348" w:lineRule="auto"/>
      </w:pPr>
      <w:r>
        <w:rPr>
          <w:rFonts w:ascii="Noto Sans CJK SC" w:hAnsi="Noto Sans CJK SC" w:eastAsia="Noto Sans CJK SC"/>
        </w:rPr>
        <w:t>现在已经能够用全年数据回看2025年报告。结果显示，杭州并不是整体“好”或“坏”，而是出现非常清晰的结构性分化：工业、数字经济和出口表现更强；投资、消费和外资更弱。</w:t>
      </w:r>
    </w:p>
    <w:p>
      <w:pPr>
        <w:pStyle w:val="Heading2"/>
      </w:pPr>
      <w:r>
        <w:t>2025年“目标—实际”对照表</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381"/>
        <w:gridCol w:w="1757"/>
        <w:gridCol w:w="1757"/>
        <w:gridCol w:w="1417"/>
        <w:gridCol w:w="1984"/>
      </w:tblGrid>
      <w:tr>
        <w:trPr>
          <w:tblHeader w:val="true"/>
          <w:cantSplit/>
        </w:trPr>
        <w:tc>
          <w:tcPr>
            <w:tcW w:type="dxa" w:w="1926"/>
            <w:shd w:fill="17365D"/>
          </w:tcPr>
          <w:p>
            <w:r>
              <w:rPr>
                <w:rFonts w:ascii="Noto Sans CJK SC" w:hAnsi="Noto Sans CJK SC" w:eastAsia="Noto Sans CJK SC"/>
                <w:b/>
                <w:color w:val="FFFFFF"/>
                <w:sz w:val="18"/>
              </w:rPr>
              <w:t>指标</w:t>
            </w:r>
          </w:p>
        </w:tc>
        <w:tc>
          <w:tcPr>
            <w:tcW w:type="dxa" w:w="1926"/>
            <w:shd w:fill="17365D"/>
          </w:tcPr>
          <w:p>
            <w:r>
              <w:rPr>
                <w:rFonts w:ascii="Noto Sans CJK SC" w:hAnsi="Noto Sans CJK SC" w:eastAsia="Noto Sans CJK SC"/>
                <w:b/>
                <w:color w:val="FFFFFF"/>
                <w:sz w:val="18"/>
              </w:rPr>
              <w:t>报告目标</w:t>
            </w:r>
          </w:p>
        </w:tc>
        <w:tc>
          <w:tcPr>
            <w:tcW w:type="dxa" w:w="1926"/>
            <w:shd w:fill="17365D"/>
          </w:tcPr>
          <w:p>
            <w:r>
              <w:rPr>
                <w:rFonts w:ascii="Noto Sans CJK SC" w:hAnsi="Noto Sans CJK SC" w:eastAsia="Noto Sans CJK SC"/>
                <w:b/>
                <w:color w:val="FFFFFF"/>
                <w:sz w:val="18"/>
              </w:rPr>
              <w:t>2025实际</w:t>
            </w:r>
          </w:p>
        </w:tc>
        <w:tc>
          <w:tcPr>
            <w:tcW w:type="dxa" w:w="1926"/>
            <w:shd w:fill="17365D"/>
          </w:tcPr>
          <w:p>
            <w:r>
              <w:rPr>
                <w:rFonts w:ascii="Noto Sans CJK SC" w:hAnsi="Noto Sans CJK SC" w:eastAsia="Noto Sans CJK SC"/>
                <w:b/>
                <w:color w:val="FFFFFF"/>
                <w:sz w:val="18"/>
              </w:rPr>
              <w:t>差异</w:t>
            </w:r>
          </w:p>
        </w:tc>
        <w:tc>
          <w:tcPr>
            <w:tcW w:type="dxa" w:w="1926"/>
            <w:shd w:fill="17365D"/>
          </w:tcPr>
          <w:p>
            <w:r>
              <w:rPr>
                <w:rFonts w:ascii="Noto Sans CJK SC" w:hAnsi="Noto Sans CJK SC" w:eastAsia="Noto Sans CJK SC"/>
                <w:b/>
                <w:color w:val="FFFFFF"/>
                <w:sz w:val="18"/>
              </w:rPr>
              <w:t>判断</w:t>
            </w:r>
          </w:p>
        </w:tc>
      </w:tr>
      <w:tr>
        <w:trPr>
          <w:cantSplit/>
        </w:trPr>
        <w:tc>
          <w:tcPr>
            <w:tcW w:type="dxa" w:w="2381"/>
            <w:tcMar>
              <w:top w:w="90" w:type="dxa"/>
              <w:start w:w="110" w:type="dxa"/>
              <w:bottom w:w="90" w:type="dxa"/>
              <w:end w:w="110" w:type="dxa"/>
            </w:tcMar>
          </w:tcPr>
          <w:p>
            <w:r>
              <w:rPr>
                <w:rFonts w:ascii="Noto Sans CJK SC" w:hAnsi="Noto Sans CJK SC" w:eastAsia="Noto Sans CJK SC"/>
                <w:b/>
                <w:sz w:val="17"/>
              </w:rPr>
              <w:t>地区生产总值增速</w:t>
            </w:r>
          </w:p>
        </w:tc>
        <w:tc>
          <w:tcPr>
            <w:tcW w:type="dxa" w:w="1757"/>
            <w:tcMar>
              <w:top w:w="90" w:type="dxa"/>
              <w:start w:w="110" w:type="dxa"/>
              <w:bottom w:w="90" w:type="dxa"/>
              <w:end w:w="110" w:type="dxa"/>
            </w:tcMar>
          </w:tcPr>
          <w:p>
            <w:r>
              <w:rPr>
                <w:rFonts w:ascii="Noto Sans CJK SC" w:hAnsi="Noto Sans CJK SC" w:eastAsia="Noto Sans CJK SC"/>
                <w:b w:val="0"/>
                <w:sz w:val="17"/>
              </w:rPr>
              <w:t>5.5%左右</w:t>
            </w:r>
          </w:p>
        </w:tc>
        <w:tc>
          <w:tcPr>
            <w:tcW w:type="dxa" w:w="1757"/>
            <w:tcMar>
              <w:top w:w="90" w:type="dxa"/>
              <w:start w:w="110" w:type="dxa"/>
              <w:bottom w:w="90" w:type="dxa"/>
              <w:end w:w="110" w:type="dxa"/>
            </w:tcMar>
          </w:tcPr>
          <w:p>
            <w:r>
              <w:rPr>
                <w:rFonts w:ascii="Noto Sans CJK SC" w:hAnsi="Noto Sans CJK SC" w:eastAsia="Noto Sans CJK SC"/>
                <w:b w:val="0"/>
                <w:sz w:val="17"/>
              </w:rPr>
              <w:t>5.2%</w:t>
            </w:r>
          </w:p>
        </w:tc>
        <w:tc>
          <w:tcPr>
            <w:tcW w:type="dxa" w:w="1417"/>
            <w:tcMar>
              <w:top w:w="90" w:type="dxa"/>
              <w:start w:w="110" w:type="dxa"/>
              <w:bottom w:w="90" w:type="dxa"/>
              <w:end w:w="110" w:type="dxa"/>
            </w:tcMar>
          </w:tcPr>
          <w:p>
            <w:r>
              <w:rPr>
                <w:rFonts w:ascii="Noto Sans CJK SC" w:hAnsi="Noto Sans CJK SC" w:eastAsia="Noto Sans CJK SC"/>
                <w:b w:val="0"/>
                <w:sz w:val="17"/>
              </w:rPr>
              <w:t>-0.3pct</w:t>
            </w:r>
          </w:p>
        </w:tc>
        <w:tc>
          <w:tcPr>
            <w:tcW w:type="dxa" w:w="1984"/>
            <w:tcMar>
              <w:top w:w="90" w:type="dxa"/>
              <w:start w:w="110" w:type="dxa"/>
              <w:bottom w:w="90" w:type="dxa"/>
              <w:end w:w="110" w:type="dxa"/>
            </w:tcMar>
          </w:tcPr>
          <w:p>
            <w:r>
              <w:rPr>
                <w:rFonts w:ascii="Noto Sans CJK SC" w:hAnsi="Noto Sans CJK SC" w:eastAsia="Noto Sans CJK SC"/>
                <w:b/>
                <w:sz w:val="17"/>
              </w:rPr>
              <w:t>接近目标</w:t>
            </w:r>
          </w:p>
        </w:tc>
      </w:tr>
      <w:tr>
        <w:trPr>
          <w:cantSplit/>
        </w:trPr>
        <w:tc>
          <w:tcPr>
            <w:tcW w:type="dxa" w:w="2381"/>
            <w:tcMar>
              <w:top w:w="90" w:type="dxa"/>
              <w:start w:w="110" w:type="dxa"/>
              <w:bottom w:w="90" w:type="dxa"/>
              <w:end w:w="110" w:type="dxa"/>
            </w:tcMar>
            <w:shd w:fill="F7F9FC"/>
          </w:tcPr>
          <w:p>
            <w:r>
              <w:rPr>
                <w:rFonts w:ascii="Noto Sans CJK SC" w:hAnsi="Noto Sans CJK SC" w:eastAsia="Noto Sans CJK SC"/>
                <w:b/>
                <w:sz w:val="17"/>
              </w:rPr>
              <w:t>社会消费品零售总额增速</w:t>
            </w:r>
          </w:p>
        </w:tc>
        <w:tc>
          <w:tcPr>
            <w:tcW w:type="dxa" w:w="1757"/>
            <w:tcMar>
              <w:top w:w="90" w:type="dxa"/>
              <w:start w:w="110" w:type="dxa"/>
              <w:bottom w:w="90" w:type="dxa"/>
              <w:end w:w="110" w:type="dxa"/>
            </w:tcMar>
            <w:shd w:fill="F7F9FC"/>
          </w:tcPr>
          <w:p>
            <w:r>
              <w:rPr>
                <w:rFonts w:ascii="Noto Sans CJK SC" w:hAnsi="Noto Sans CJK SC" w:eastAsia="Noto Sans CJK SC"/>
                <w:b w:val="0"/>
                <w:sz w:val="17"/>
              </w:rPr>
              <w:t>5%左右</w:t>
            </w:r>
          </w:p>
        </w:tc>
        <w:tc>
          <w:tcPr>
            <w:tcW w:type="dxa" w:w="1757"/>
            <w:tcMar>
              <w:top w:w="90" w:type="dxa"/>
              <w:start w:w="110" w:type="dxa"/>
              <w:bottom w:w="90" w:type="dxa"/>
              <w:end w:w="110" w:type="dxa"/>
            </w:tcMar>
            <w:shd w:fill="F7F9FC"/>
          </w:tcPr>
          <w:p>
            <w:r>
              <w:rPr>
                <w:rFonts w:ascii="Noto Sans CJK SC" w:hAnsi="Noto Sans CJK SC" w:eastAsia="Noto Sans CJK SC"/>
                <w:b w:val="0"/>
                <w:sz w:val="17"/>
              </w:rPr>
              <w:t>3.8%</w:t>
            </w:r>
          </w:p>
        </w:tc>
        <w:tc>
          <w:tcPr>
            <w:tcW w:type="dxa" w:w="1417"/>
            <w:tcMar>
              <w:top w:w="90" w:type="dxa"/>
              <w:start w:w="110" w:type="dxa"/>
              <w:bottom w:w="90" w:type="dxa"/>
              <w:end w:w="110" w:type="dxa"/>
            </w:tcMar>
            <w:shd w:fill="F7F9FC"/>
          </w:tcPr>
          <w:p>
            <w:r>
              <w:rPr>
                <w:rFonts w:ascii="Noto Sans CJK SC" w:hAnsi="Noto Sans CJK SC" w:eastAsia="Noto Sans CJK SC"/>
                <w:b w:val="0"/>
                <w:sz w:val="17"/>
              </w:rPr>
              <w:t>-1.2pct</w:t>
            </w:r>
          </w:p>
        </w:tc>
        <w:tc>
          <w:tcPr>
            <w:tcW w:type="dxa" w:w="1984"/>
            <w:tcMar>
              <w:top w:w="90" w:type="dxa"/>
              <w:start w:w="110" w:type="dxa"/>
              <w:bottom w:w="90" w:type="dxa"/>
              <w:end w:w="110" w:type="dxa"/>
            </w:tcMar>
            <w:shd w:fill="F7F9FC"/>
          </w:tcPr>
          <w:p>
            <w:r>
              <w:rPr>
                <w:rFonts w:ascii="Noto Sans CJK SC" w:hAnsi="Noto Sans CJK SC" w:eastAsia="Noto Sans CJK SC"/>
                <w:b/>
                <w:sz w:val="17"/>
              </w:rPr>
              <w:t>偏弱</w:t>
            </w:r>
          </w:p>
        </w:tc>
      </w:tr>
      <w:tr>
        <w:trPr>
          <w:cantSplit/>
        </w:trPr>
        <w:tc>
          <w:tcPr>
            <w:tcW w:type="dxa" w:w="2381"/>
            <w:tcMar>
              <w:top w:w="90" w:type="dxa"/>
              <w:start w:w="110" w:type="dxa"/>
              <w:bottom w:w="90" w:type="dxa"/>
              <w:end w:w="110" w:type="dxa"/>
            </w:tcMar>
          </w:tcPr>
          <w:p>
            <w:r>
              <w:rPr>
                <w:rFonts w:ascii="Noto Sans CJK SC" w:hAnsi="Noto Sans CJK SC" w:eastAsia="Noto Sans CJK SC"/>
                <w:b/>
                <w:sz w:val="17"/>
              </w:rPr>
              <w:t>固定资产投资</w:t>
            </w:r>
          </w:p>
        </w:tc>
        <w:tc>
          <w:tcPr>
            <w:tcW w:type="dxa" w:w="1757"/>
            <w:tcMar>
              <w:top w:w="90" w:type="dxa"/>
              <w:start w:w="110" w:type="dxa"/>
              <w:bottom w:w="90" w:type="dxa"/>
              <w:end w:w="110" w:type="dxa"/>
            </w:tcMar>
          </w:tcPr>
          <w:p>
            <w:r>
              <w:rPr>
                <w:rFonts w:ascii="Noto Sans CJK SC" w:hAnsi="Noto Sans CJK SC" w:eastAsia="Noto Sans CJK SC"/>
                <w:b w:val="0"/>
                <w:sz w:val="17"/>
              </w:rPr>
              <w:t>实现正增长</w:t>
            </w:r>
          </w:p>
        </w:tc>
        <w:tc>
          <w:tcPr>
            <w:tcW w:type="dxa" w:w="1757"/>
            <w:tcMar>
              <w:top w:w="90" w:type="dxa"/>
              <w:start w:w="110" w:type="dxa"/>
              <w:bottom w:w="90" w:type="dxa"/>
              <w:end w:w="110" w:type="dxa"/>
            </w:tcMar>
          </w:tcPr>
          <w:p>
            <w:r>
              <w:rPr>
                <w:rFonts w:ascii="Noto Sans CJK SC" w:hAnsi="Noto Sans CJK SC" w:eastAsia="Noto Sans CJK SC"/>
                <w:b w:val="0"/>
                <w:sz w:val="17"/>
              </w:rPr>
              <w:t>-11.3%</w:t>
            </w:r>
          </w:p>
        </w:tc>
        <w:tc>
          <w:tcPr>
            <w:tcW w:type="dxa" w:w="1417"/>
            <w:tcMar>
              <w:top w:w="90" w:type="dxa"/>
              <w:start w:w="110" w:type="dxa"/>
              <w:bottom w:w="90" w:type="dxa"/>
              <w:end w:w="110" w:type="dxa"/>
            </w:tcMar>
          </w:tcPr>
          <w:p>
            <w:r>
              <w:rPr>
                <w:rFonts w:ascii="Noto Sans CJK SC" w:hAnsi="Noto Sans CJK SC" w:eastAsia="Noto Sans CJK SC"/>
                <w:b w:val="0"/>
                <w:sz w:val="17"/>
              </w:rPr>
              <w:t>显著低于</w:t>
            </w:r>
          </w:p>
        </w:tc>
        <w:tc>
          <w:tcPr>
            <w:tcW w:type="dxa" w:w="1984"/>
            <w:tcMar>
              <w:top w:w="90" w:type="dxa"/>
              <w:start w:w="110" w:type="dxa"/>
              <w:bottom w:w="90" w:type="dxa"/>
              <w:end w:w="110" w:type="dxa"/>
            </w:tcMar>
          </w:tcPr>
          <w:p>
            <w:r>
              <w:rPr>
                <w:rFonts w:ascii="Noto Sans CJK SC" w:hAnsi="Noto Sans CJK SC" w:eastAsia="Noto Sans CJK SC"/>
                <w:b/>
                <w:sz w:val="17"/>
              </w:rPr>
              <w:t>明显承压</w:t>
            </w:r>
          </w:p>
        </w:tc>
      </w:tr>
      <w:tr>
        <w:trPr>
          <w:cantSplit/>
        </w:trPr>
        <w:tc>
          <w:tcPr>
            <w:tcW w:type="dxa" w:w="2381"/>
            <w:tcMar>
              <w:top w:w="90" w:type="dxa"/>
              <w:start w:w="110" w:type="dxa"/>
              <w:bottom w:w="90" w:type="dxa"/>
              <w:end w:w="110" w:type="dxa"/>
            </w:tcMar>
            <w:shd w:fill="F7F9FC"/>
          </w:tcPr>
          <w:p>
            <w:r>
              <w:rPr>
                <w:rFonts w:ascii="Noto Sans CJK SC" w:hAnsi="Noto Sans CJK SC" w:eastAsia="Noto Sans CJK SC"/>
                <w:b/>
                <w:sz w:val="17"/>
              </w:rPr>
              <w:t>制造业/工业投资</w:t>
            </w:r>
          </w:p>
        </w:tc>
        <w:tc>
          <w:tcPr>
            <w:tcW w:type="dxa" w:w="1757"/>
            <w:tcMar>
              <w:top w:w="90" w:type="dxa"/>
              <w:start w:w="110" w:type="dxa"/>
              <w:bottom w:w="90" w:type="dxa"/>
              <w:end w:w="110" w:type="dxa"/>
            </w:tcMar>
            <w:shd w:fill="F7F9FC"/>
          </w:tcPr>
          <w:p>
            <w:r>
              <w:rPr>
                <w:rFonts w:ascii="Noto Sans CJK SC" w:hAnsi="Noto Sans CJK SC" w:eastAsia="Noto Sans CJK SC"/>
                <w:b w:val="0"/>
                <w:sz w:val="17"/>
              </w:rPr>
              <w:t>制造业力争+10%</w:t>
            </w:r>
          </w:p>
        </w:tc>
        <w:tc>
          <w:tcPr>
            <w:tcW w:type="dxa" w:w="1757"/>
            <w:tcMar>
              <w:top w:w="90" w:type="dxa"/>
              <w:start w:w="110" w:type="dxa"/>
              <w:bottom w:w="90" w:type="dxa"/>
              <w:end w:w="110" w:type="dxa"/>
            </w:tcMar>
            <w:shd w:fill="F7F9FC"/>
          </w:tcPr>
          <w:p>
            <w:r>
              <w:rPr>
                <w:rFonts w:ascii="Noto Sans CJK SC" w:hAnsi="Noto Sans CJK SC" w:eastAsia="Noto Sans CJK SC"/>
                <w:b w:val="0"/>
                <w:sz w:val="17"/>
              </w:rPr>
              <w:t>工业投资+5.2%</w:t>
            </w:r>
          </w:p>
        </w:tc>
        <w:tc>
          <w:tcPr>
            <w:tcW w:type="dxa" w:w="1417"/>
            <w:tcMar>
              <w:top w:w="90" w:type="dxa"/>
              <w:start w:w="110" w:type="dxa"/>
              <w:bottom w:w="90" w:type="dxa"/>
              <w:end w:w="110" w:type="dxa"/>
            </w:tcMar>
            <w:shd w:fill="F7F9FC"/>
          </w:tcPr>
          <w:p>
            <w:r>
              <w:rPr>
                <w:rFonts w:ascii="Noto Sans CJK SC" w:hAnsi="Noto Sans CJK SC" w:eastAsia="Noto Sans CJK SC"/>
                <w:b w:val="0"/>
                <w:sz w:val="17"/>
              </w:rPr>
              <w:t>低于目标口径</w:t>
            </w:r>
          </w:p>
        </w:tc>
        <w:tc>
          <w:tcPr>
            <w:tcW w:type="dxa" w:w="1984"/>
            <w:tcMar>
              <w:top w:w="90" w:type="dxa"/>
              <w:start w:w="110" w:type="dxa"/>
              <w:bottom w:w="90" w:type="dxa"/>
              <w:end w:w="110" w:type="dxa"/>
            </w:tcMar>
            <w:shd w:fill="F7F9FC"/>
          </w:tcPr>
          <w:p>
            <w:r>
              <w:rPr>
                <w:rFonts w:ascii="Noto Sans CJK SC" w:hAnsi="Noto Sans CJK SC" w:eastAsia="Noto Sans CJK SC"/>
                <w:b/>
                <w:sz w:val="17"/>
              </w:rPr>
              <w:t>有增长但不足</w:t>
            </w:r>
          </w:p>
        </w:tc>
      </w:tr>
      <w:tr>
        <w:trPr>
          <w:cantSplit/>
        </w:trPr>
        <w:tc>
          <w:tcPr>
            <w:tcW w:type="dxa" w:w="2381"/>
            <w:tcMar>
              <w:top w:w="90" w:type="dxa"/>
              <w:start w:w="110" w:type="dxa"/>
              <w:bottom w:w="90" w:type="dxa"/>
              <w:end w:w="110" w:type="dxa"/>
            </w:tcMar>
          </w:tcPr>
          <w:p>
            <w:r>
              <w:rPr>
                <w:rFonts w:ascii="Noto Sans CJK SC" w:hAnsi="Noto Sans CJK SC" w:eastAsia="Noto Sans CJK SC"/>
                <w:b/>
                <w:sz w:val="17"/>
              </w:rPr>
              <w:t>规上工业增加值</w:t>
            </w:r>
          </w:p>
        </w:tc>
        <w:tc>
          <w:tcPr>
            <w:tcW w:type="dxa" w:w="1757"/>
            <w:tcMar>
              <w:top w:w="90" w:type="dxa"/>
              <w:start w:w="110" w:type="dxa"/>
              <w:bottom w:w="90" w:type="dxa"/>
              <w:end w:w="110" w:type="dxa"/>
            </w:tcMar>
          </w:tcPr>
          <w:p>
            <w:r>
              <w:rPr>
                <w:rFonts w:ascii="Noto Sans CJK SC" w:hAnsi="Noto Sans CJK SC" w:eastAsia="Noto Sans CJK SC"/>
                <w:b w:val="0"/>
                <w:sz w:val="17"/>
              </w:rPr>
              <w:t>5.5%左右</w:t>
            </w:r>
          </w:p>
        </w:tc>
        <w:tc>
          <w:tcPr>
            <w:tcW w:type="dxa" w:w="1757"/>
            <w:tcMar>
              <w:top w:w="90" w:type="dxa"/>
              <w:start w:w="110" w:type="dxa"/>
              <w:bottom w:w="90" w:type="dxa"/>
              <w:end w:w="110" w:type="dxa"/>
            </w:tcMar>
          </w:tcPr>
          <w:p>
            <w:r>
              <w:rPr>
                <w:rFonts w:ascii="Noto Sans CJK SC" w:hAnsi="Noto Sans CJK SC" w:eastAsia="Noto Sans CJK SC"/>
                <w:b w:val="0"/>
                <w:sz w:val="17"/>
              </w:rPr>
              <w:t>6.0%</w:t>
            </w:r>
          </w:p>
        </w:tc>
        <w:tc>
          <w:tcPr>
            <w:tcW w:type="dxa" w:w="1417"/>
            <w:tcMar>
              <w:top w:w="90" w:type="dxa"/>
              <w:start w:w="110" w:type="dxa"/>
              <w:bottom w:w="90" w:type="dxa"/>
              <w:end w:w="110" w:type="dxa"/>
            </w:tcMar>
          </w:tcPr>
          <w:p>
            <w:r>
              <w:rPr>
                <w:rFonts w:ascii="Noto Sans CJK SC" w:hAnsi="Noto Sans CJK SC" w:eastAsia="Noto Sans CJK SC"/>
                <w:b w:val="0"/>
                <w:sz w:val="17"/>
              </w:rPr>
              <w:t>+0.5pct</w:t>
            </w:r>
          </w:p>
        </w:tc>
        <w:tc>
          <w:tcPr>
            <w:tcW w:type="dxa" w:w="1984"/>
            <w:tcMar>
              <w:top w:w="90" w:type="dxa"/>
              <w:start w:w="110" w:type="dxa"/>
              <w:bottom w:w="90" w:type="dxa"/>
              <w:end w:w="110" w:type="dxa"/>
            </w:tcMar>
          </w:tcPr>
          <w:p>
            <w:r>
              <w:rPr>
                <w:rFonts w:ascii="Noto Sans CJK SC" w:hAnsi="Noto Sans CJK SC" w:eastAsia="Noto Sans CJK SC"/>
                <w:b/>
                <w:sz w:val="17"/>
              </w:rPr>
              <w:t>超过目标</w:t>
            </w:r>
          </w:p>
        </w:tc>
      </w:tr>
      <w:tr>
        <w:trPr>
          <w:cantSplit/>
        </w:trPr>
        <w:tc>
          <w:tcPr>
            <w:tcW w:type="dxa" w:w="2381"/>
            <w:tcMar>
              <w:top w:w="90" w:type="dxa"/>
              <w:start w:w="110" w:type="dxa"/>
              <w:bottom w:w="90" w:type="dxa"/>
              <w:end w:w="110" w:type="dxa"/>
            </w:tcMar>
            <w:shd w:fill="F7F9FC"/>
          </w:tcPr>
          <w:p>
            <w:r>
              <w:rPr>
                <w:rFonts w:ascii="Noto Sans CJK SC" w:hAnsi="Noto Sans CJK SC" w:eastAsia="Noto Sans CJK SC"/>
                <w:b/>
                <w:sz w:val="17"/>
              </w:rPr>
              <w:t>数字经济核心产业增加值</w:t>
            </w:r>
          </w:p>
        </w:tc>
        <w:tc>
          <w:tcPr>
            <w:tcW w:type="dxa" w:w="1757"/>
            <w:tcMar>
              <w:top w:w="90" w:type="dxa"/>
              <w:start w:w="110" w:type="dxa"/>
              <w:bottom w:w="90" w:type="dxa"/>
              <w:end w:w="110" w:type="dxa"/>
            </w:tcMar>
            <w:shd w:fill="F7F9FC"/>
          </w:tcPr>
          <w:p>
            <w:r>
              <w:rPr>
                <w:rFonts w:ascii="Noto Sans CJK SC" w:hAnsi="Noto Sans CJK SC" w:eastAsia="Noto Sans CJK SC"/>
                <w:b w:val="0"/>
                <w:sz w:val="17"/>
              </w:rPr>
              <w:t>+6%</w:t>
            </w:r>
          </w:p>
        </w:tc>
        <w:tc>
          <w:tcPr>
            <w:tcW w:type="dxa" w:w="1757"/>
            <w:tcMar>
              <w:top w:w="90" w:type="dxa"/>
              <w:start w:w="110" w:type="dxa"/>
              <w:bottom w:w="90" w:type="dxa"/>
              <w:end w:w="110" w:type="dxa"/>
            </w:tcMar>
            <w:shd w:fill="F7F9FC"/>
          </w:tcPr>
          <w:p>
            <w:r>
              <w:rPr>
                <w:rFonts w:ascii="Noto Sans CJK SC" w:hAnsi="Noto Sans CJK SC" w:eastAsia="Noto Sans CJK SC"/>
                <w:b w:val="0"/>
                <w:sz w:val="17"/>
              </w:rPr>
              <w:t>+9.3%</w:t>
            </w:r>
          </w:p>
        </w:tc>
        <w:tc>
          <w:tcPr>
            <w:tcW w:type="dxa" w:w="1417"/>
            <w:tcMar>
              <w:top w:w="90" w:type="dxa"/>
              <w:start w:w="110" w:type="dxa"/>
              <w:bottom w:w="90" w:type="dxa"/>
              <w:end w:w="110" w:type="dxa"/>
            </w:tcMar>
            <w:shd w:fill="F7F9FC"/>
          </w:tcPr>
          <w:p>
            <w:r>
              <w:rPr>
                <w:rFonts w:ascii="Noto Sans CJK SC" w:hAnsi="Noto Sans CJK SC" w:eastAsia="Noto Sans CJK SC"/>
                <w:b w:val="0"/>
                <w:sz w:val="17"/>
              </w:rPr>
              <w:t>+3.3pct</w:t>
            </w:r>
          </w:p>
        </w:tc>
        <w:tc>
          <w:tcPr>
            <w:tcW w:type="dxa" w:w="1984"/>
            <w:tcMar>
              <w:top w:w="90" w:type="dxa"/>
              <w:start w:w="110" w:type="dxa"/>
              <w:bottom w:w="90" w:type="dxa"/>
              <w:end w:w="110" w:type="dxa"/>
            </w:tcMar>
            <w:shd w:fill="F7F9FC"/>
          </w:tcPr>
          <w:p>
            <w:r>
              <w:rPr>
                <w:rFonts w:ascii="Noto Sans CJK SC" w:hAnsi="Noto Sans CJK SC" w:eastAsia="Noto Sans CJK SC"/>
                <w:b/>
                <w:sz w:val="17"/>
              </w:rPr>
              <w:t>显著超预期</w:t>
            </w:r>
          </w:p>
        </w:tc>
      </w:tr>
      <w:tr>
        <w:trPr>
          <w:cantSplit/>
        </w:trPr>
        <w:tc>
          <w:tcPr>
            <w:tcW w:type="dxa" w:w="2381"/>
            <w:tcMar>
              <w:top w:w="90" w:type="dxa"/>
              <w:start w:w="110" w:type="dxa"/>
              <w:bottom w:w="90" w:type="dxa"/>
              <w:end w:w="110" w:type="dxa"/>
            </w:tcMar>
          </w:tcPr>
          <w:p>
            <w:r>
              <w:rPr>
                <w:rFonts w:ascii="Noto Sans CJK SC" w:hAnsi="Noto Sans CJK SC" w:eastAsia="Noto Sans CJK SC"/>
                <w:b/>
                <w:sz w:val="17"/>
              </w:rPr>
              <w:t>实际利用外资</w:t>
            </w:r>
          </w:p>
        </w:tc>
        <w:tc>
          <w:tcPr>
            <w:tcW w:type="dxa" w:w="1757"/>
            <w:tcMar>
              <w:top w:w="90" w:type="dxa"/>
              <w:start w:w="110" w:type="dxa"/>
              <w:bottom w:w="90" w:type="dxa"/>
              <w:end w:w="110" w:type="dxa"/>
            </w:tcMar>
          </w:tcPr>
          <w:p>
            <w:r>
              <w:rPr>
                <w:rFonts w:ascii="Noto Sans CJK SC" w:hAnsi="Noto Sans CJK SC" w:eastAsia="Noto Sans CJK SC"/>
                <w:b w:val="0"/>
                <w:sz w:val="17"/>
              </w:rPr>
              <w:t>70亿美元</w:t>
            </w:r>
          </w:p>
        </w:tc>
        <w:tc>
          <w:tcPr>
            <w:tcW w:type="dxa" w:w="1757"/>
            <w:tcMar>
              <w:top w:w="90" w:type="dxa"/>
              <w:start w:w="110" w:type="dxa"/>
              <w:bottom w:w="90" w:type="dxa"/>
              <w:end w:w="110" w:type="dxa"/>
            </w:tcMar>
          </w:tcPr>
          <w:p>
            <w:r>
              <w:rPr>
                <w:rFonts w:ascii="Noto Sans CJK SC" w:hAnsi="Noto Sans CJK SC" w:eastAsia="Noto Sans CJK SC"/>
                <w:b w:val="0"/>
                <w:sz w:val="17"/>
              </w:rPr>
              <w:t>约35.0亿美元</w:t>
            </w:r>
          </w:p>
        </w:tc>
        <w:tc>
          <w:tcPr>
            <w:tcW w:type="dxa" w:w="1417"/>
            <w:tcMar>
              <w:top w:w="90" w:type="dxa"/>
              <w:start w:w="110" w:type="dxa"/>
              <w:bottom w:w="90" w:type="dxa"/>
              <w:end w:w="110" w:type="dxa"/>
            </w:tcMar>
          </w:tcPr>
          <w:p>
            <w:r>
              <w:rPr>
                <w:rFonts w:ascii="Noto Sans CJK SC" w:hAnsi="Noto Sans CJK SC" w:eastAsia="Noto Sans CJK SC"/>
                <w:b w:val="0"/>
                <w:sz w:val="17"/>
              </w:rPr>
              <w:t>约-50%</w:t>
            </w:r>
          </w:p>
        </w:tc>
        <w:tc>
          <w:tcPr>
            <w:tcW w:type="dxa" w:w="1984"/>
            <w:tcMar>
              <w:top w:w="90" w:type="dxa"/>
              <w:start w:w="110" w:type="dxa"/>
              <w:bottom w:w="90" w:type="dxa"/>
              <w:end w:w="110" w:type="dxa"/>
            </w:tcMar>
          </w:tcPr>
          <w:p>
            <w:r>
              <w:rPr>
                <w:rFonts w:ascii="Noto Sans CJK SC" w:hAnsi="Noto Sans CJK SC" w:eastAsia="Noto Sans CJK SC"/>
                <w:b/>
                <w:sz w:val="17"/>
              </w:rPr>
              <w:t>明显承压</w:t>
            </w:r>
          </w:p>
        </w:tc>
      </w:tr>
      <w:tr>
        <w:trPr>
          <w:cantSplit/>
        </w:trPr>
        <w:tc>
          <w:tcPr>
            <w:tcW w:type="dxa" w:w="2381"/>
            <w:tcMar>
              <w:top w:w="90" w:type="dxa"/>
              <w:start w:w="110" w:type="dxa"/>
              <w:bottom w:w="90" w:type="dxa"/>
              <w:end w:w="110" w:type="dxa"/>
            </w:tcMar>
            <w:shd w:fill="F7F9FC"/>
          </w:tcPr>
          <w:p>
            <w:r>
              <w:rPr>
                <w:rFonts w:ascii="Noto Sans CJK SC" w:hAnsi="Noto Sans CJK SC" w:eastAsia="Noto Sans CJK SC"/>
                <w:b/>
                <w:sz w:val="17"/>
              </w:rPr>
              <w:t>货物出口</w:t>
            </w:r>
          </w:p>
        </w:tc>
        <w:tc>
          <w:tcPr>
            <w:tcW w:type="dxa" w:w="1757"/>
            <w:tcMar>
              <w:top w:w="90" w:type="dxa"/>
              <w:start w:w="110" w:type="dxa"/>
              <w:bottom w:w="90" w:type="dxa"/>
              <w:end w:w="110" w:type="dxa"/>
            </w:tcMar>
            <w:shd w:fill="F7F9FC"/>
          </w:tcPr>
          <w:p>
            <w:r>
              <w:rPr>
                <w:rFonts w:ascii="Noto Sans CJK SC" w:hAnsi="Noto Sans CJK SC" w:eastAsia="Noto Sans CJK SC"/>
                <w:b w:val="0"/>
                <w:sz w:val="17"/>
              </w:rPr>
              <w:t>份额基本稳定</w:t>
            </w:r>
          </w:p>
        </w:tc>
        <w:tc>
          <w:tcPr>
            <w:tcW w:type="dxa" w:w="1757"/>
            <w:tcMar>
              <w:top w:w="90" w:type="dxa"/>
              <w:start w:w="110" w:type="dxa"/>
              <w:bottom w:w="90" w:type="dxa"/>
              <w:end w:w="110" w:type="dxa"/>
            </w:tcMar>
            <w:shd w:fill="F7F9FC"/>
          </w:tcPr>
          <w:p>
            <w:r>
              <w:rPr>
                <w:rFonts w:ascii="Noto Sans CJK SC" w:hAnsi="Noto Sans CJK SC" w:eastAsia="Noto Sans CJK SC"/>
                <w:b w:val="0"/>
                <w:sz w:val="17"/>
              </w:rPr>
              <w:t>6469亿元、+8.7%</w:t>
            </w:r>
          </w:p>
        </w:tc>
        <w:tc>
          <w:tcPr>
            <w:tcW w:type="dxa" w:w="1417"/>
            <w:tcMar>
              <w:top w:w="90" w:type="dxa"/>
              <w:start w:w="110" w:type="dxa"/>
              <w:bottom w:w="90" w:type="dxa"/>
              <w:end w:w="110" w:type="dxa"/>
            </w:tcMar>
            <w:shd w:fill="F7F9FC"/>
          </w:tcPr>
          <w:p>
            <w:r>
              <w:rPr>
                <w:rFonts w:ascii="Noto Sans CJK SC" w:hAnsi="Noto Sans CJK SC" w:eastAsia="Noto Sans CJK SC"/>
                <w:b w:val="0"/>
                <w:sz w:val="17"/>
              </w:rPr>
              <w:t>—</w:t>
            </w:r>
          </w:p>
        </w:tc>
        <w:tc>
          <w:tcPr>
            <w:tcW w:type="dxa" w:w="1984"/>
            <w:tcMar>
              <w:top w:w="90" w:type="dxa"/>
              <w:start w:w="110" w:type="dxa"/>
              <w:bottom w:w="90" w:type="dxa"/>
              <w:end w:w="110" w:type="dxa"/>
            </w:tcMar>
            <w:shd w:fill="F7F9FC"/>
          </w:tcPr>
          <w:p>
            <w:r>
              <w:rPr>
                <w:rFonts w:ascii="Noto Sans CJK SC" w:hAnsi="Noto Sans CJK SC" w:eastAsia="Noto Sans CJK SC"/>
                <w:b/>
                <w:sz w:val="17"/>
              </w:rPr>
              <w:t>较强</w:t>
            </w:r>
          </w:p>
        </w:tc>
      </w:tr>
    </w:tbl>
    <w:p>
      <w:pPr>
        <w:jc w:val="center"/>
      </w:pPr>
      <w:r>
        <w:drawing>
          <wp:inline xmlns:a="http://schemas.openxmlformats.org/drawingml/2006/main" xmlns:pic="http://schemas.openxmlformats.org/drawingml/2006/picture">
            <wp:extent cx="5112000" cy="2808000"/>
            <wp:docPr id="2" name="Picture 2"/>
            <wp:cNvGraphicFramePr>
              <a:graphicFrameLocks noChangeAspect="1"/>
            </wp:cNvGraphicFramePr>
            <a:graphic>
              <a:graphicData uri="http://schemas.openxmlformats.org/drawingml/2006/picture">
                <pic:pic>
                  <pic:nvPicPr>
                    <pic:cNvPr id="0" name="hz_target_actual.png"/>
                    <pic:cNvPicPr/>
                  </pic:nvPicPr>
                  <pic:blipFill>
                    <a:blip r:embed="rId14"/>
                    <a:stretch>
                      <a:fillRect/>
                    </a:stretch>
                  </pic:blipFill>
                  <pic:spPr>
                    <a:xfrm>
                      <a:off x="0" y="0"/>
                      <a:ext cx="5112000" cy="2808000"/>
                    </a:xfrm>
                    <a:prstGeom prst="rect"/>
                  </pic:spPr>
                </pic:pic>
              </a:graphicData>
            </a:graphic>
          </wp:inline>
        </w:drawing>
      </w:r>
    </w:p>
    <w:p>
      <w:pPr>
        <w:jc w:val="center"/>
      </w:pPr>
      <w:r>
        <w:rPr>
          <w:rFonts w:ascii="Noto Sans CJK SC" w:hAnsi="Noto Sans CJK SC" w:eastAsia="Noto Sans CJK SC"/>
          <w:color w:val="69717D"/>
          <w:sz w:val="17"/>
        </w:rPr>
        <w:t>图2  2025年部分增长目标与实际结果对比（%）</w:t>
      </w:r>
    </w:p>
    <w:tbl>
      <w:tblPr>
        <w:tblW w:type="auto" w:w="0"/>
        <w:jc w:val="center"/>
        <w:tblLayout w:type="fixed"/>
        <w:tblLook w:firstColumn="1" w:firstRow="1" w:lastColumn="0" w:lastRow="0" w:noHBand="0" w:noVBand="1" w:val="04A0"/>
      </w:tblPr>
      <w:tblGrid>
        <w:gridCol w:w="9241"/>
      </w:tblGrid>
      <w:tr>
        <w:trPr>
          <w:tblHeader w:val="true"/>
          <w:cantSplit/>
        </w:trPr>
        <w:tc>
          <w:tcPr>
            <w:tcW w:type="dxa" w:w="9632"/>
            <w:shd w:fill="EEF4FF"/>
            <w:tcMar>
              <w:top w:w="130" w:type="dxa"/>
              <w:start w:w="180" w:type="dxa"/>
              <w:bottom w:w="130" w:type="dxa"/>
              <w:end w:w="180" w:type="dxa"/>
            </w:tcMar>
          </w:tcPr>
          <w:p>
            <w:pPr>
              <w:spacing w:after="80"/>
            </w:pPr>
            <w:r>
              <w:rPr>
                <w:rFonts w:ascii="Noto Sans CJK SC" w:hAnsi="Noto Sans CJK SC" w:eastAsia="Noto Sans CJK SC"/>
                <w:b/>
                <w:color w:val="275DAD"/>
                <w:sz w:val="22"/>
              </w:rPr>
              <w:t>最重要的结构</w:t>
            </w:r>
          </w:p>
          <w:p>
            <w:pPr>
              <w:spacing w:line="324" w:lineRule="auto" w:after="0"/>
            </w:pPr>
            <w:r>
              <w:rPr>
                <w:rFonts w:ascii="Noto Sans CJK SC" w:hAnsi="Noto Sans CJK SC" w:eastAsia="Noto Sans CJK SC"/>
                <w:sz w:val="21"/>
              </w:rPr>
              <w:t>可以把2025年杭州经济概括为“两张脸”：一张是“新经济的供给侧很强”——工业、AI、数字经济、出口继续扩张；另一张是“传统需求侧偏弱”——投资、消费、外资并未同步强劲。普通人的就业和收入体感，往往更受后一张脸影响，所以会出现宏观科技新闻很热、部分行业体感仍冷的现象。</w:t>
            </w:r>
          </w:p>
        </w:tc>
      </w:tr>
    </w:tbl>
    <w:p>
      <w:pPr>
        <w:spacing w:after="0"/>
      </w:pPr>
    </w:p>
    <w:p>
      <w:pPr>
        <w:spacing w:before="0" w:after="100"/>
      </w:pPr>
      <w:r>
        <w:rPr>
          <w:rFonts w:ascii="Noto Sans CJK SC" w:hAnsi="Noto Sans CJK SC" w:eastAsia="Noto Sans CJK SC"/>
          <w:color w:val="69717D"/>
          <w:sz w:val="17"/>
        </w:rPr>
        <w:t>资料依据：[3]、[4]</w:t>
      </w:r>
    </w:p>
    <w:p>
      <w:bookmarkStart w:id="17" w:name="engine"/>
      <w:pPr>
        <w:pStyle w:val="Heading1"/>
      </w:pPr>
      <w:r>
        <w:t>十六、把整份报告还原成一张“增长发动机换挡图”</w:t>
      </w:r>
      <w:bookmarkEnd w:id="17"/>
    </w:p>
    <w:p>
      <w:pPr>
        <w:spacing w:after="100" w:line="348" w:lineRule="auto"/>
      </w:pPr>
      <w:r>
        <w:rPr>
          <w:rFonts w:ascii="Noto Sans CJK SC" w:hAnsi="Noto Sans CJK SC" w:eastAsia="Noto Sans CJK SC"/>
        </w:rPr>
        <w:t>如果去掉行政语言，2025年的杭州政策可以还原为一条较清晰的因果链：</w:t>
      </w:r>
    </w:p>
    <w:p>
      <w:pPr>
        <w:pStyle w:val="QuoteBox"/>
        <w:jc w:val="center"/>
      </w:pPr>
      <w:r>
        <w:rPr>
          <w:rFonts w:ascii="Noto Serif CJK SC" w:hAnsi="Noto Serif CJK SC" w:eastAsia="Noto Serif CJK SC"/>
          <w:b/>
          <w:color w:val="17365D"/>
          <w:sz w:val="24"/>
        </w:rPr>
        <w:t>旧增长发动机边际减弱  →  财政与投资约束上升  →  资源向新产业重配  →  新产业必须形成投资、就业和税源</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041"/>
        <w:gridCol w:w="7087"/>
      </w:tblGrid>
      <w:tr>
        <w:trPr>
          <w:tblHeader w:val="true"/>
          <w:cantSplit/>
        </w:trPr>
        <w:tc>
          <w:tcPr>
            <w:tcW w:type="dxa" w:w="4816"/>
            <w:shd w:fill="275DAD"/>
          </w:tcPr>
          <w:p>
            <w:r>
              <w:rPr>
                <w:rFonts w:ascii="Noto Sans CJK SC" w:hAnsi="Noto Sans CJK SC" w:eastAsia="Noto Sans CJK SC"/>
                <w:b/>
                <w:color w:val="FFFFFF"/>
                <w:sz w:val="18"/>
              </w:rPr>
              <w:t>阶段</w:t>
            </w:r>
          </w:p>
        </w:tc>
        <w:tc>
          <w:tcPr>
            <w:tcW w:type="dxa" w:w="4816"/>
            <w:shd w:fill="275DAD"/>
          </w:tcPr>
          <w:p>
            <w:r>
              <w:rPr>
                <w:rFonts w:ascii="Noto Sans CJK SC" w:hAnsi="Noto Sans CJK SC" w:eastAsia="Noto Sans CJK SC"/>
                <w:b/>
                <w:color w:val="FFFFFF"/>
                <w:sz w:val="18"/>
              </w:rPr>
              <w:t>内容</w:t>
            </w:r>
          </w:p>
        </w:tc>
      </w:tr>
      <w:tr>
        <w:trPr>
          <w:cantSplit/>
        </w:trPr>
        <w:tc>
          <w:tcPr>
            <w:tcW w:type="dxa" w:w="2041"/>
            <w:tcMar>
              <w:top w:w="90" w:type="dxa"/>
              <w:start w:w="110" w:type="dxa"/>
              <w:bottom w:w="90" w:type="dxa"/>
              <w:end w:w="110" w:type="dxa"/>
            </w:tcMar>
          </w:tcPr>
          <w:p>
            <w:r>
              <w:rPr>
                <w:rFonts w:ascii="Noto Sans CJK SC" w:hAnsi="Noto Sans CJK SC" w:eastAsia="Noto Sans CJK SC"/>
                <w:b/>
                <w:sz w:val="18"/>
              </w:rPr>
              <w:t>旧结构</w:t>
            </w:r>
          </w:p>
        </w:tc>
        <w:tc>
          <w:tcPr>
            <w:tcW w:type="dxa" w:w="7087"/>
            <w:tcMar>
              <w:top w:w="90" w:type="dxa"/>
              <w:start w:w="110" w:type="dxa"/>
              <w:bottom w:w="90" w:type="dxa"/>
              <w:end w:w="110" w:type="dxa"/>
            </w:tcMar>
          </w:tcPr>
          <w:p>
            <w:r>
              <w:rPr>
                <w:rFonts w:ascii="Noto Sans CJK SC" w:hAnsi="Noto Sans CJK SC" w:eastAsia="Noto Sans CJK SC"/>
                <w:b w:val="0"/>
                <w:sz w:val="18"/>
              </w:rPr>
              <w:t>互联网平台＋房地产开发＋土地财政＋城市建设＋消费服务业</w:t>
            </w:r>
          </w:p>
        </w:tc>
      </w:tr>
      <w:tr>
        <w:trPr>
          <w:cantSplit/>
        </w:trPr>
        <w:tc>
          <w:tcPr>
            <w:tcW w:type="dxa" w:w="2041"/>
            <w:tcMar>
              <w:top w:w="90" w:type="dxa"/>
              <w:start w:w="110" w:type="dxa"/>
              <w:bottom w:w="90" w:type="dxa"/>
              <w:end w:w="110" w:type="dxa"/>
            </w:tcMar>
          </w:tcPr>
          <w:p>
            <w:r>
              <w:rPr>
                <w:rFonts w:ascii="Noto Sans CJK SC" w:hAnsi="Noto Sans CJK SC" w:eastAsia="Noto Sans CJK SC"/>
                <w:b/>
                <w:sz w:val="18"/>
              </w:rPr>
              <w:t>压力出现</w:t>
            </w:r>
          </w:p>
        </w:tc>
        <w:tc>
          <w:tcPr>
            <w:tcW w:type="dxa" w:w="7087"/>
            <w:tcMar>
              <w:top w:w="90" w:type="dxa"/>
              <w:start w:w="110" w:type="dxa"/>
              <w:bottom w:w="90" w:type="dxa"/>
              <w:end w:w="110" w:type="dxa"/>
            </w:tcMar>
          </w:tcPr>
          <w:p>
            <w:r>
              <w:rPr>
                <w:rFonts w:ascii="Noto Sans CJK SC" w:hAnsi="Noto Sans CJK SC" w:eastAsia="Noto Sans CJK SC"/>
                <w:b w:val="0"/>
                <w:sz w:val="18"/>
              </w:rPr>
              <w:t>土地收入下降、固定投资转弱、外资下行、消费修复偏慢</w:t>
            </w:r>
          </w:p>
        </w:tc>
      </w:tr>
      <w:tr>
        <w:trPr>
          <w:cantSplit/>
        </w:trPr>
        <w:tc>
          <w:tcPr>
            <w:tcW w:type="dxa" w:w="2041"/>
            <w:tcMar>
              <w:top w:w="90" w:type="dxa"/>
              <w:start w:w="110" w:type="dxa"/>
              <w:bottom w:w="90" w:type="dxa"/>
              <w:end w:w="110" w:type="dxa"/>
            </w:tcMar>
          </w:tcPr>
          <w:p>
            <w:r>
              <w:rPr>
                <w:rFonts w:ascii="Noto Sans CJK SC" w:hAnsi="Noto Sans CJK SC" w:eastAsia="Noto Sans CJK SC"/>
                <w:b/>
                <w:sz w:val="18"/>
              </w:rPr>
              <w:t>政策响应</w:t>
            </w:r>
          </w:p>
        </w:tc>
        <w:tc>
          <w:tcPr>
            <w:tcW w:type="dxa" w:w="7087"/>
            <w:tcMar>
              <w:top w:w="90" w:type="dxa"/>
              <w:start w:w="110" w:type="dxa"/>
              <w:bottom w:w="90" w:type="dxa"/>
              <w:end w:w="110" w:type="dxa"/>
            </w:tcMar>
          </w:tcPr>
          <w:p>
            <w:r>
              <w:rPr>
                <w:rFonts w:ascii="Noto Sans CJK SC" w:hAnsi="Noto Sans CJK SC" w:eastAsia="Noto Sans CJK SC"/>
                <w:b w:val="0"/>
                <w:sz w:val="18"/>
              </w:rPr>
              <w:t>AI＋硬科技＋先进制造＋生产性服务业＋出口＋产业基金</w:t>
            </w:r>
          </w:p>
        </w:tc>
      </w:tr>
      <w:tr>
        <w:trPr>
          <w:cantSplit/>
        </w:trPr>
        <w:tc>
          <w:tcPr>
            <w:tcW w:type="dxa" w:w="2041"/>
            <w:tcMar>
              <w:top w:w="90" w:type="dxa"/>
              <w:start w:w="110" w:type="dxa"/>
              <w:bottom w:w="90" w:type="dxa"/>
              <w:end w:w="110" w:type="dxa"/>
            </w:tcMar>
          </w:tcPr>
          <w:p>
            <w:r>
              <w:rPr>
                <w:rFonts w:ascii="Noto Sans CJK SC" w:hAnsi="Noto Sans CJK SC" w:eastAsia="Noto Sans CJK SC"/>
                <w:b/>
                <w:sz w:val="18"/>
              </w:rPr>
              <w:t>资源工具</w:t>
            </w:r>
          </w:p>
        </w:tc>
        <w:tc>
          <w:tcPr>
            <w:tcW w:type="dxa" w:w="7087"/>
            <w:tcMar>
              <w:top w:w="90" w:type="dxa"/>
              <w:start w:w="110" w:type="dxa"/>
              <w:bottom w:w="90" w:type="dxa"/>
              <w:end w:w="110" w:type="dxa"/>
            </w:tcMar>
          </w:tcPr>
          <w:p>
            <w:r>
              <w:rPr>
                <w:rFonts w:ascii="Noto Sans CJK SC" w:hAnsi="Noto Sans CJK SC" w:eastAsia="Noto Sans CJK SC"/>
                <w:b w:val="0"/>
                <w:sz w:val="18"/>
              </w:rPr>
              <w:t>工业土地、能耗、算力、公共数据、基金、专项债、场景开放、人才</w:t>
            </w:r>
          </w:p>
        </w:tc>
      </w:tr>
      <w:tr>
        <w:trPr>
          <w:cantSplit/>
        </w:trPr>
        <w:tc>
          <w:tcPr>
            <w:tcW w:type="dxa" w:w="2041"/>
            <w:tcMar>
              <w:top w:w="90" w:type="dxa"/>
              <w:start w:w="110" w:type="dxa"/>
              <w:bottom w:w="90" w:type="dxa"/>
              <w:end w:w="110" w:type="dxa"/>
            </w:tcMar>
          </w:tcPr>
          <w:p>
            <w:r>
              <w:rPr>
                <w:rFonts w:ascii="Noto Sans CJK SC" w:hAnsi="Noto Sans CJK SC" w:eastAsia="Noto Sans CJK SC"/>
                <w:b/>
                <w:sz w:val="18"/>
              </w:rPr>
              <w:t>最终检验</w:t>
            </w:r>
          </w:p>
        </w:tc>
        <w:tc>
          <w:tcPr>
            <w:tcW w:type="dxa" w:w="7087"/>
            <w:tcMar>
              <w:top w:w="90" w:type="dxa"/>
              <w:start w:w="110" w:type="dxa"/>
              <w:bottom w:w="90" w:type="dxa"/>
              <w:end w:w="110" w:type="dxa"/>
            </w:tcMar>
          </w:tcPr>
          <w:p>
            <w:r>
              <w:rPr>
                <w:rFonts w:ascii="Noto Sans CJK SC" w:hAnsi="Noto Sans CJK SC" w:eastAsia="Noto Sans CJK SC"/>
                <w:b w:val="0"/>
                <w:sz w:val="18"/>
              </w:rPr>
              <w:t>是否形成更大的资本开支、更高工资就业、更厚产业链与稳定税源</w:t>
            </w:r>
          </w:p>
        </w:tc>
      </w:tr>
    </w:tbl>
    <w:p>
      <w:pPr>
        <w:spacing w:after="100" w:line="348" w:lineRule="auto"/>
      </w:pPr>
      <w:r>
        <w:rPr>
          <w:rFonts w:ascii="Noto Sans CJK SC" w:hAnsi="Noto Sans CJK SC" w:eastAsia="Noto Sans CJK SC"/>
        </w:rPr>
        <w:t>“杭州六小龙”之所以在这个时间点具有特殊意义，是因为它们恰好验证了杭州正在押注的新增长逻辑：高校与科研人才提供知识源头，民营创业负责组织创新，风险资本和产业基金承担早期风险，数字基础设施提供低成本工具，长三角制造能力负责把技术变成产品，城市则通过场景、政策和人才服务提高成功率。</w:t>
      </w:r>
    </w:p>
    <w:p>
      <w:pPr>
        <w:spacing w:after="100" w:line="348" w:lineRule="auto"/>
      </w:pPr>
      <w:r>
        <w:rPr>
          <w:rFonts w:ascii="Noto Sans CJK SC" w:hAnsi="Noto Sans CJK SC" w:eastAsia="Noto Sans CJK SC"/>
        </w:rPr>
        <w:t>但“出现几家现象级企业”与“完成城市增长模式转换”之间还有很长距离。前者看的是案例，后者看的是规模、扩散和财政结果。</w:t>
      </w:r>
    </w:p>
    <w:p>
      <w:bookmarkStart w:id="18" w:name="implications"/>
      <w:pPr>
        <w:pStyle w:val="Heading1"/>
      </w:pPr>
      <w:r>
        <w:t>十七、对企业、产业和普通人的实际含义</w:t>
      </w:r>
      <w:bookmarkEnd w:id="18"/>
    </w:p>
    <w:p>
      <w:pPr>
        <w:spacing w:after="100" w:line="348" w:lineRule="auto"/>
      </w:pPr>
      <w:r>
        <w:rPr>
          <w:rFonts w:ascii="Noto Sans CJK SC" w:hAnsi="Noto Sans CJK SC" w:eastAsia="Noto Sans CJK SC"/>
        </w:rPr>
        <w:t>政府工作报告不是只给政府部门看的。资源配置方向变化，会逐渐影响企业选址、招聘结构、职业机会、产业链利润和城市空间。以下判断属于分析性推断，而非官方承诺。</w:t>
      </w:r>
    </w:p>
    <w:p>
      <w:pPr>
        <w:pStyle w:val="Heading2"/>
      </w:pPr>
      <w:r>
        <w:t>1. 对企业</w:t>
      </w:r>
    </w:p>
    <w:p>
      <w:pPr>
        <w:pStyle w:val="ListBullet"/>
        <w:spacing w:after="40" w:line="324" w:lineRule="auto"/>
      </w:pPr>
      <w:r>
        <w:rPr>
          <w:rFonts w:ascii="Noto Sans CJK SC" w:hAnsi="Noto Sans CJK SC" w:eastAsia="Noto Sans CJK SC"/>
        </w:rPr>
        <w:t>先进制造、AI硬件、机器人、芯片、工业软件、生产性服务业会获得更多政策与要素关注。</w:t>
      </w:r>
    </w:p>
    <w:p>
      <w:pPr>
        <w:pStyle w:val="ListBullet"/>
        <w:spacing w:after="40" w:line="324" w:lineRule="auto"/>
      </w:pPr>
      <w:r>
        <w:rPr>
          <w:rFonts w:ascii="Noto Sans CJK SC" w:hAnsi="Noto Sans CJK SC" w:eastAsia="Noto Sans CJK SC"/>
        </w:rPr>
        <w:t>纯粹依赖地产扩张、低附加值传统投资的增长环境会比过去更困难。</w:t>
      </w:r>
    </w:p>
    <w:p>
      <w:pPr>
        <w:pStyle w:val="ListBullet"/>
        <w:spacing w:after="40" w:line="324" w:lineRule="auto"/>
      </w:pPr>
      <w:r>
        <w:rPr>
          <w:rFonts w:ascii="Noto Sans CJK SC" w:hAnsi="Noto Sans CJK SC" w:eastAsia="Noto Sans CJK SC"/>
        </w:rPr>
        <w:t>民企获取工业用地、能耗、基金和场景的政策窗口变大，但企业之间竞争也会更激烈。</w:t>
      </w:r>
    </w:p>
    <w:p>
      <w:pPr>
        <w:pStyle w:val="ListBullet"/>
        <w:spacing w:after="40" w:line="324" w:lineRule="auto"/>
      </w:pPr>
      <w:r>
        <w:rPr>
          <w:rFonts w:ascii="Noto Sans CJK SC" w:hAnsi="Noto Sans CJK SC" w:eastAsia="Noto Sans CJK SC"/>
        </w:rPr>
        <w:t>外贸企业仍有出口机会，但需要降低对单一市场依赖，并提高品牌、合规和本地化能力。</w:t>
      </w:r>
    </w:p>
    <w:p>
      <w:pPr>
        <w:pStyle w:val="Heading2"/>
      </w:pPr>
      <w:r>
        <w:t>2. 对就业与人才</w:t>
      </w:r>
    </w:p>
    <w:p>
      <w:pPr>
        <w:pStyle w:val="ListBullet"/>
        <w:spacing w:after="40" w:line="324" w:lineRule="auto"/>
      </w:pPr>
      <w:r>
        <w:rPr>
          <w:rFonts w:ascii="Noto Sans CJK SC" w:hAnsi="Noto Sans CJK SC" w:eastAsia="Noto Sans CJK SC"/>
        </w:rPr>
        <w:t>“AI热”不意味着所有白领岗位同步增加；更可能出现算法、硬件、机器人、制造工程、产品化、供应链和产业服务岗位的结构性增长。</w:t>
      </w:r>
    </w:p>
    <w:p>
      <w:pPr>
        <w:pStyle w:val="ListBullet"/>
        <w:spacing w:after="40" w:line="324" w:lineRule="auto"/>
      </w:pPr>
      <w:r>
        <w:rPr>
          <w:rFonts w:ascii="Noto Sans CJK SC" w:hAnsi="Noto Sans CJK SC" w:eastAsia="Noto Sans CJK SC"/>
        </w:rPr>
        <w:t>产业从软件向软硬结合发展后，机械、电气、材料、半导体、自动化等传统工程技能可能重新获得更高权重。</w:t>
      </w:r>
    </w:p>
    <w:p>
      <w:pPr>
        <w:pStyle w:val="ListBullet"/>
        <w:spacing w:after="40" w:line="324" w:lineRule="auto"/>
      </w:pPr>
      <w:r>
        <w:rPr>
          <w:rFonts w:ascii="Noto Sans CJK SC" w:hAnsi="Noto Sans CJK SC" w:eastAsia="Noto Sans CJK SC"/>
        </w:rPr>
        <w:t>人口持续流入将继续抬高核心城区住房、教育和通勤需求，公共服务配置会成为人才留存的重要变量。</w:t>
      </w:r>
    </w:p>
    <w:p>
      <w:pPr>
        <w:pStyle w:val="Heading2"/>
      </w:pPr>
      <w:r>
        <w:t>3. 对城市空间</w:t>
      </w:r>
    </w:p>
    <w:p>
      <w:pPr>
        <w:pStyle w:val="ListBullet"/>
        <w:spacing w:after="40" w:line="324" w:lineRule="auto"/>
      </w:pPr>
      <w:r>
        <w:rPr>
          <w:rFonts w:ascii="Noto Sans CJK SC" w:hAnsi="Noto Sans CJK SC" w:eastAsia="Noto Sans CJK SC"/>
        </w:rPr>
        <w:t>工业用地和“工业上楼”意味着产业空间不会完全让位于住宅、商办和消费空间。</w:t>
      </w:r>
    </w:p>
    <w:p>
      <w:pPr>
        <w:pStyle w:val="ListBullet"/>
        <w:spacing w:after="40" w:line="324" w:lineRule="auto"/>
      </w:pPr>
      <w:r>
        <w:rPr>
          <w:rFonts w:ascii="Noto Sans CJK SC" w:hAnsi="Noto Sans CJK SC" w:eastAsia="Noto Sans CJK SC"/>
        </w:rPr>
        <w:t>城东智造大走廊、产业平台与新型基础设施的重要性会提高，杭州发展将更明显呈现多中心结构。</w:t>
      </w:r>
    </w:p>
    <w:p>
      <w:pPr>
        <w:pStyle w:val="ListBullet"/>
        <w:spacing w:after="40" w:line="324" w:lineRule="auto"/>
      </w:pPr>
      <w:r>
        <w:rPr>
          <w:rFonts w:ascii="Noto Sans CJK SC" w:hAnsi="Noto Sans CJK SC" w:eastAsia="Noto Sans CJK SC"/>
        </w:rPr>
        <w:t>房地产从增量开发转向城市更新，会让旧城改造、存量物业和公共服务改善的重要性上升。</w:t>
      </w:r>
    </w:p>
    <w:tbl>
      <w:tblPr>
        <w:tblW w:type="auto" w:w="0"/>
        <w:jc w:val="center"/>
        <w:tblLayout w:type="fixed"/>
        <w:tblLook w:firstColumn="1" w:firstRow="1" w:lastColumn="0" w:lastRow="0" w:noHBand="0" w:noVBand="1" w:val="04A0"/>
      </w:tblPr>
      <w:tblGrid>
        <w:gridCol w:w="9241"/>
      </w:tblGrid>
      <w:tr>
        <w:trPr>
          <w:tblHeader w:val="true"/>
          <w:cantSplit/>
        </w:trPr>
        <w:tc>
          <w:tcPr>
            <w:tcW w:type="dxa" w:w="9632"/>
            <w:shd w:fill="FFF8E8"/>
            <w:tcMar>
              <w:top w:w="130" w:type="dxa"/>
              <w:start w:w="180" w:type="dxa"/>
              <w:bottom w:w="130" w:type="dxa"/>
              <w:end w:w="180" w:type="dxa"/>
            </w:tcMar>
          </w:tcPr>
          <w:p>
            <w:pPr>
              <w:spacing w:after="80"/>
            </w:pPr>
            <w:r>
              <w:rPr>
                <w:rFonts w:ascii="Noto Sans CJK SC" w:hAnsi="Noto Sans CJK SC" w:eastAsia="Noto Sans CJK SC"/>
                <w:b/>
                <w:color w:val="A86A00"/>
                <w:sz w:val="22"/>
              </w:rPr>
              <w:t>不要把城市战略误解成个人职业保证</w:t>
            </w:r>
          </w:p>
          <w:p>
            <w:pPr>
              <w:spacing w:line="324" w:lineRule="auto" w:after="0"/>
            </w:pPr>
            <w:r>
              <w:rPr>
                <w:rFonts w:ascii="Noto Sans CJK SC" w:hAnsi="Noto Sans CJK SC" w:eastAsia="Noto Sans CJK SC"/>
                <w:sz w:val="21"/>
              </w:rPr>
              <w:t>产业政策能提高某些方向的机会密度，但不能保证具体个人一定受益。真正有用的观察是：哪些技能、公司和产业链正在获得持续资本开支与真实订单，而不是只看新闻热度。</w:t>
            </w:r>
          </w:p>
        </w:tc>
      </w:tr>
    </w:tbl>
    <w:p>
      <w:pPr>
        <w:spacing w:after="0"/>
      </w:pPr>
    </w:p>
    <w:p>
      <w:bookmarkStart w:id="19" w:name="watch"/>
      <w:pPr>
        <w:pStyle w:val="Heading1"/>
      </w:pPr>
      <w:r>
        <w:t>十八、未来2—3年最值得追踪的指标</w:t>
      </w:r>
      <w:bookmarkEnd w:id="19"/>
    </w:p>
    <w:p>
      <w:pPr>
        <w:spacing w:after="100" w:line="348" w:lineRule="auto"/>
      </w:pPr>
      <w:r>
        <w:rPr>
          <w:rFonts w:ascii="Noto Sans CJK SC" w:hAnsi="Noto Sans CJK SC" w:eastAsia="Noto Sans CJK SC"/>
        </w:rPr>
        <w:t>判断杭州这轮转型是否成功，不应只盯GDP总量或城市排名。更有解释力的是下面这些“结构指标”。</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835"/>
        <w:gridCol w:w="6463"/>
      </w:tblGrid>
      <w:tr>
        <w:trPr>
          <w:tblHeader w:val="true"/>
          <w:cantSplit/>
        </w:trPr>
        <w:tc>
          <w:tcPr>
            <w:tcW w:type="dxa" w:w="4816"/>
            <w:shd w:fill="17365D"/>
          </w:tcPr>
          <w:p>
            <w:r>
              <w:rPr>
                <w:rFonts w:ascii="Noto Sans CJK SC" w:hAnsi="Noto Sans CJK SC" w:eastAsia="Noto Sans CJK SC"/>
                <w:b/>
                <w:color w:val="FFFFFF"/>
                <w:sz w:val="18"/>
              </w:rPr>
              <w:t>指标</w:t>
            </w:r>
          </w:p>
        </w:tc>
        <w:tc>
          <w:tcPr>
            <w:tcW w:type="dxa" w:w="4816"/>
            <w:shd w:fill="17365D"/>
          </w:tcPr>
          <w:p>
            <w:r>
              <w:rPr>
                <w:rFonts w:ascii="Noto Sans CJK SC" w:hAnsi="Noto Sans CJK SC" w:eastAsia="Noto Sans CJK SC"/>
                <w:b/>
                <w:color w:val="FFFFFF"/>
                <w:sz w:val="18"/>
              </w:rPr>
              <w:t>为什么比GDP更值得看</w:t>
            </w:r>
          </w:p>
        </w:tc>
      </w:tr>
      <w:tr>
        <w:trPr>
          <w:cantSplit/>
        </w:trPr>
        <w:tc>
          <w:tcPr>
            <w:tcW w:type="dxa" w:w="2835"/>
            <w:tcMar>
              <w:top w:w="90" w:type="dxa"/>
              <w:start w:w="110" w:type="dxa"/>
              <w:bottom w:w="90" w:type="dxa"/>
              <w:end w:w="110" w:type="dxa"/>
            </w:tcMar>
          </w:tcPr>
          <w:p>
            <w:r>
              <w:rPr>
                <w:rFonts w:ascii="Noto Sans CJK SC" w:hAnsi="Noto Sans CJK SC" w:eastAsia="Noto Sans CJK SC"/>
                <w:b/>
                <w:sz w:val="18"/>
              </w:rPr>
              <w:t>1. 土地出让收入</w:t>
            </w:r>
          </w:p>
        </w:tc>
        <w:tc>
          <w:tcPr>
            <w:tcW w:type="dxa" w:w="6463"/>
            <w:tcMar>
              <w:top w:w="90" w:type="dxa"/>
              <w:start w:w="110" w:type="dxa"/>
              <w:bottom w:w="90" w:type="dxa"/>
              <w:end w:w="110" w:type="dxa"/>
            </w:tcMar>
          </w:tcPr>
          <w:p>
            <w:r>
              <w:rPr>
                <w:rFonts w:ascii="Noto Sans CJK SC" w:hAnsi="Noto Sans CJK SC" w:eastAsia="Noto Sans CJK SC"/>
                <w:b w:val="0"/>
                <w:sz w:val="18"/>
              </w:rPr>
              <w:t>如果继续下降，说明旧财政模式仍在退出；关键看一般公共预算和税收能否补位。</w:t>
            </w:r>
          </w:p>
        </w:tc>
      </w:tr>
      <w:tr>
        <w:trPr>
          <w:cantSplit/>
        </w:trPr>
        <w:tc>
          <w:tcPr>
            <w:tcW w:type="dxa" w:w="2835"/>
            <w:shd w:fill="F7F9FC"/>
            <w:tcMar>
              <w:top w:w="90" w:type="dxa"/>
              <w:start w:w="110" w:type="dxa"/>
              <w:bottom w:w="90" w:type="dxa"/>
              <w:end w:w="110" w:type="dxa"/>
            </w:tcMar>
          </w:tcPr>
          <w:p>
            <w:r>
              <w:rPr>
                <w:rFonts w:ascii="Noto Sans CJK SC" w:hAnsi="Noto Sans CJK SC" w:eastAsia="Noto Sans CJK SC"/>
                <w:b/>
                <w:sz w:val="18"/>
              </w:rPr>
              <w:t>2. 制造业/工业投资占比</w:t>
            </w:r>
          </w:p>
        </w:tc>
        <w:tc>
          <w:tcPr>
            <w:tcW w:type="dxa" w:w="6463"/>
            <w:shd w:fill="F7F9FC"/>
            <w:tcMar>
              <w:top w:w="90" w:type="dxa"/>
              <w:start w:w="110" w:type="dxa"/>
              <w:bottom w:w="90" w:type="dxa"/>
              <w:end w:w="110" w:type="dxa"/>
            </w:tcMar>
          </w:tcPr>
          <w:p>
            <w:r>
              <w:rPr>
                <w:rFonts w:ascii="Noto Sans CJK SC" w:hAnsi="Noto Sans CJK SC" w:eastAsia="Noto Sans CJK SC"/>
                <w:b w:val="0"/>
                <w:sz w:val="18"/>
              </w:rPr>
              <w:t>如果在整体投资偏弱时持续增长，说明新产业确实在形成资本开支。</w:t>
            </w:r>
          </w:p>
        </w:tc>
      </w:tr>
      <w:tr>
        <w:trPr>
          <w:cantSplit/>
        </w:trPr>
        <w:tc>
          <w:tcPr>
            <w:tcW w:type="dxa" w:w="2835"/>
            <w:tcMar>
              <w:top w:w="90" w:type="dxa"/>
              <w:start w:w="110" w:type="dxa"/>
              <w:bottom w:w="90" w:type="dxa"/>
              <w:end w:w="110" w:type="dxa"/>
            </w:tcMar>
          </w:tcPr>
          <w:p>
            <w:r>
              <w:rPr>
                <w:rFonts w:ascii="Noto Sans CJK SC" w:hAnsi="Noto Sans CJK SC" w:eastAsia="Noto Sans CJK SC"/>
                <w:b/>
                <w:sz w:val="18"/>
              </w:rPr>
              <w:t>3. 民间投资占比</w:t>
            </w:r>
          </w:p>
        </w:tc>
        <w:tc>
          <w:tcPr>
            <w:tcW w:type="dxa" w:w="6463"/>
            <w:tcMar>
              <w:top w:w="90" w:type="dxa"/>
              <w:start w:w="110" w:type="dxa"/>
              <w:bottom w:w="90" w:type="dxa"/>
              <w:end w:w="110" w:type="dxa"/>
            </w:tcMar>
          </w:tcPr>
          <w:p>
            <w:r>
              <w:rPr>
                <w:rFonts w:ascii="Noto Sans CJK SC" w:hAnsi="Noto Sans CJK SC" w:eastAsia="Noto Sans CJK SC"/>
                <w:b w:val="0"/>
                <w:sz w:val="18"/>
              </w:rPr>
              <w:t>如果土地、能耗和融资政策有效，民间投资应出现持续恢复，而不只是项目数量增加。</w:t>
            </w:r>
          </w:p>
        </w:tc>
      </w:tr>
      <w:tr>
        <w:trPr>
          <w:cantSplit/>
        </w:trPr>
        <w:tc>
          <w:tcPr>
            <w:tcW w:type="dxa" w:w="2835"/>
            <w:shd w:fill="F7F9FC"/>
            <w:tcMar>
              <w:top w:w="90" w:type="dxa"/>
              <w:start w:w="110" w:type="dxa"/>
              <w:bottom w:w="90" w:type="dxa"/>
              <w:end w:w="110" w:type="dxa"/>
            </w:tcMar>
          </w:tcPr>
          <w:p>
            <w:r>
              <w:rPr>
                <w:rFonts w:ascii="Noto Sans CJK SC" w:hAnsi="Noto Sans CJK SC" w:eastAsia="Noto Sans CJK SC"/>
                <w:b/>
                <w:sz w:val="18"/>
              </w:rPr>
              <w:t>4. 产业基金退出与社会资本跟投</w:t>
            </w:r>
          </w:p>
        </w:tc>
        <w:tc>
          <w:tcPr>
            <w:tcW w:type="dxa" w:w="6463"/>
            <w:shd w:fill="F7F9FC"/>
            <w:tcMar>
              <w:top w:w="90" w:type="dxa"/>
              <w:start w:w="110" w:type="dxa"/>
              <w:bottom w:w="90" w:type="dxa"/>
              <w:end w:w="110" w:type="dxa"/>
            </w:tcMar>
          </w:tcPr>
          <w:p>
            <w:r>
              <w:rPr>
                <w:rFonts w:ascii="Noto Sans CJK SC" w:hAnsi="Noto Sans CJK SC" w:eastAsia="Noto Sans CJK SC"/>
                <w:b w:val="0"/>
                <w:sz w:val="18"/>
              </w:rPr>
              <w:t>判断3000亿元基金集群是否真正市场化，而不是只看认缴规模。</w:t>
            </w:r>
          </w:p>
        </w:tc>
      </w:tr>
      <w:tr>
        <w:trPr>
          <w:cantSplit/>
        </w:trPr>
        <w:tc>
          <w:tcPr>
            <w:tcW w:type="dxa" w:w="2835"/>
            <w:tcMar>
              <w:top w:w="90" w:type="dxa"/>
              <w:start w:w="110" w:type="dxa"/>
              <w:bottom w:w="90" w:type="dxa"/>
              <w:end w:w="110" w:type="dxa"/>
            </w:tcMar>
          </w:tcPr>
          <w:p>
            <w:r>
              <w:rPr>
                <w:rFonts w:ascii="Noto Sans CJK SC" w:hAnsi="Noto Sans CJK SC" w:eastAsia="Noto Sans CJK SC"/>
                <w:b/>
                <w:sz w:val="18"/>
              </w:rPr>
              <w:t>5. AI与数字经济的就业和税收贡献</w:t>
            </w:r>
          </w:p>
        </w:tc>
        <w:tc>
          <w:tcPr>
            <w:tcW w:type="dxa" w:w="6463"/>
            <w:tcMar>
              <w:top w:w="90" w:type="dxa"/>
              <w:start w:w="110" w:type="dxa"/>
              <w:bottom w:w="90" w:type="dxa"/>
              <w:end w:w="110" w:type="dxa"/>
            </w:tcMar>
          </w:tcPr>
          <w:p>
            <w:r>
              <w:rPr>
                <w:rFonts w:ascii="Noto Sans CJK SC" w:hAnsi="Noto Sans CJK SC" w:eastAsia="Noto Sans CJK SC"/>
                <w:b w:val="0"/>
                <w:sz w:val="18"/>
              </w:rPr>
              <w:t>判断“技术热度”是否转化为城市经济基本盘。</w:t>
            </w:r>
          </w:p>
        </w:tc>
      </w:tr>
      <w:tr>
        <w:trPr>
          <w:cantSplit/>
        </w:trPr>
        <w:tc>
          <w:tcPr>
            <w:tcW w:type="dxa" w:w="2835"/>
            <w:shd w:fill="F7F9FC"/>
            <w:tcMar>
              <w:top w:w="90" w:type="dxa"/>
              <w:start w:w="110" w:type="dxa"/>
              <w:bottom w:w="90" w:type="dxa"/>
              <w:end w:w="110" w:type="dxa"/>
            </w:tcMar>
          </w:tcPr>
          <w:p>
            <w:r>
              <w:rPr>
                <w:rFonts w:ascii="Noto Sans CJK SC" w:hAnsi="Noto Sans CJK SC" w:eastAsia="Noto Sans CJK SC"/>
                <w:b/>
                <w:sz w:val="18"/>
              </w:rPr>
              <w:t>6. 规上工业企业与百亿级项目数量</w:t>
            </w:r>
          </w:p>
        </w:tc>
        <w:tc>
          <w:tcPr>
            <w:tcW w:type="dxa" w:w="6463"/>
            <w:shd w:fill="F7F9FC"/>
            <w:tcMar>
              <w:top w:w="90" w:type="dxa"/>
              <w:start w:w="110" w:type="dxa"/>
              <w:bottom w:w="90" w:type="dxa"/>
              <w:end w:w="110" w:type="dxa"/>
            </w:tcMar>
          </w:tcPr>
          <w:p>
            <w:r>
              <w:rPr>
                <w:rFonts w:ascii="Noto Sans CJK SC" w:hAnsi="Noto Sans CJK SC" w:eastAsia="Noto Sans CJK SC"/>
                <w:b w:val="0"/>
                <w:sz w:val="18"/>
              </w:rPr>
              <w:t>直接检验报告所担忧的“产业厚度不足”是否改善。</w:t>
            </w:r>
          </w:p>
        </w:tc>
      </w:tr>
      <w:tr>
        <w:trPr>
          <w:cantSplit/>
        </w:trPr>
        <w:tc>
          <w:tcPr>
            <w:tcW w:type="dxa" w:w="2835"/>
            <w:tcMar>
              <w:top w:w="90" w:type="dxa"/>
              <w:start w:w="110" w:type="dxa"/>
              <w:bottom w:w="90" w:type="dxa"/>
              <w:end w:w="110" w:type="dxa"/>
            </w:tcMar>
          </w:tcPr>
          <w:p>
            <w:r>
              <w:rPr>
                <w:rFonts w:ascii="Noto Sans CJK SC" w:hAnsi="Noto Sans CJK SC" w:eastAsia="Noto Sans CJK SC"/>
                <w:b/>
                <w:sz w:val="18"/>
              </w:rPr>
              <w:t>7. 外资质量与总部项目</w:t>
            </w:r>
          </w:p>
        </w:tc>
        <w:tc>
          <w:tcPr>
            <w:tcW w:type="dxa" w:w="6463"/>
            <w:tcMar>
              <w:top w:w="90" w:type="dxa"/>
              <w:start w:w="110" w:type="dxa"/>
              <w:bottom w:w="90" w:type="dxa"/>
              <w:end w:w="110" w:type="dxa"/>
            </w:tcMar>
          </w:tcPr>
          <w:p>
            <w:r>
              <w:rPr>
                <w:rFonts w:ascii="Noto Sans CJK SC" w:hAnsi="Noto Sans CJK SC" w:eastAsia="Noto Sans CJK SC"/>
                <w:b w:val="0"/>
                <w:sz w:val="18"/>
              </w:rPr>
              <w:t>不仅看金额，还看制造业、高技术服务业和研发总部的新增项目。</w:t>
            </w:r>
          </w:p>
        </w:tc>
      </w:tr>
      <w:tr>
        <w:trPr>
          <w:cantSplit/>
        </w:trPr>
        <w:tc>
          <w:tcPr>
            <w:tcW w:type="dxa" w:w="2835"/>
            <w:shd w:fill="F7F9FC"/>
            <w:tcMar>
              <w:top w:w="90" w:type="dxa"/>
              <w:start w:w="110" w:type="dxa"/>
              <w:bottom w:w="90" w:type="dxa"/>
              <w:end w:w="110" w:type="dxa"/>
            </w:tcMar>
          </w:tcPr>
          <w:p>
            <w:r>
              <w:rPr>
                <w:rFonts w:ascii="Noto Sans CJK SC" w:hAnsi="Noto Sans CJK SC" w:eastAsia="Noto Sans CJK SC"/>
                <w:b/>
                <w:sz w:val="18"/>
              </w:rPr>
              <w:t>8. 债务对应资产的利用率</w:t>
            </w:r>
          </w:p>
        </w:tc>
        <w:tc>
          <w:tcPr>
            <w:tcW w:type="dxa" w:w="6463"/>
            <w:shd w:fill="F7F9FC"/>
            <w:tcMar>
              <w:top w:w="90" w:type="dxa"/>
              <w:start w:w="110" w:type="dxa"/>
              <w:bottom w:w="90" w:type="dxa"/>
              <w:end w:w="110" w:type="dxa"/>
            </w:tcMar>
          </w:tcPr>
          <w:p>
            <w:r>
              <w:rPr>
                <w:rFonts w:ascii="Noto Sans CJK SC" w:hAnsi="Noto Sans CJK SC" w:eastAsia="Noto Sans CJK SC"/>
                <w:b w:val="0"/>
                <w:sz w:val="18"/>
              </w:rPr>
              <w:t>轨道交通、产业园、保障房、城市更新等项目是否形成足够使用率和经济外溢。</w:t>
            </w:r>
          </w:p>
        </w:tc>
      </w:tr>
      <w:tr>
        <w:trPr>
          <w:cantSplit/>
        </w:trPr>
        <w:tc>
          <w:tcPr>
            <w:tcW w:type="dxa" w:w="2835"/>
            <w:tcMar>
              <w:top w:w="90" w:type="dxa"/>
              <w:start w:w="110" w:type="dxa"/>
              <w:bottom w:w="90" w:type="dxa"/>
              <w:end w:w="110" w:type="dxa"/>
            </w:tcMar>
          </w:tcPr>
          <w:p>
            <w:r>
              <w:rPr>
                <w:rFonts w:ascii="Noto Sans CJK SC" w:hAnsi="Noto Sans CJK SC" w:eastAsia="Noto Sans CJK SC"/>
                <w:b/>
                <w:sz w:val="18"/>
              </w:rPr>
              <w:t>9. 居民收入与消费增速</w:t>
            </w:r>
          </w:p>
        </w:tc>
        <w:tc>
          <w:tcPr>
            <w:tcW w:type="dxa" w:w="6463"/>
            <w:tcMar>
              <w:top w:w="90" w:type="dxa"/>
              <w:start w:w="110" w:type="dxa"/>
              <w:bottom w:w="90" w:type="dxa"/>
              <w:end w:w="110" w:type="dxa"/>
            </w:tcMar>
          </w:tcPr>
          <w:p>
            <w:r>
              <w:rPr>
                <w:rFonts w:ascii="Noto Sans CJK SC" w:hAnsi="Noto Sans CJK SC" w:eastAsia="Noto Sans CJK SC"/>
                <w:b w:val="0"/>
                <w:sz w:val="18"/>
              </w:rPr>
              <w:t>若新产业增长不能改善居民收入预期，消费端仍可能偏弱。</w:t>
            </w:r>
          </w:p>
        </w:tc>
      </w:tr>
      <w:tr>
        <w:trPr>
          <w:cantSplit/>
        </w:trPr>
        <w:tc>
          <w:tcPr>
            <w:tcW w:type="dxa" w:w="2835"/>
            <w:shd w:fill="F7F9FC"/>
            <w:tcMar>
              <w:top w:w="90" w:type="dxa"/>
              <w:start w:w="110" w:type="dxa"/>
              <w:bottom w:w="90" w:type="dxa"/>
              <w:end w:w="110" w:type="dxa"/>
            </w:tcMar>
          </w:tcPr>
          <w:p>
            <w:r>
              <w:rPr>
                <w:rFonts w:ascii="Noto Sans CJK SC" w:hAnsi="Noto Sans CJK SC" w:eastAsia="Noto Sans CJK SC"/>
                <w:b/>
                <w:sz w:val="18"/>
              </w:rPr>
              <w:t>10. 人口与公共服务匹配</w:t>
            </w:r>
          </w:p>
        </w:tc>
        <w:tc>
          <w:tcPr>
            <w:tcW w:type="dxa" w:w="6463"/>
            <w:shd w:fill="F7F9FC"/>
            <w:tcMar>
              <w:top w:w="90" w:type="dxa"/>
              <w:start w:w="110" w:type="dxa"/>
              <w:bottom w:w="90" w:type="dxa"/>
              <w:end w:w="110" w:type="dxa"/>
            </w:tcMar>
          </w:tcPr>
          <w:p>
            <w:r>
              <w:rPr>
                <w:rFonts w:ascii="Noto Sans CJK SC" w:hAnsi="Noto Sans CJK SC" w:eastAsia="Noto Sans CJK SC"/>
                <w:b w:val="0"/>
                <w:sz w:val="18"/>
              </w:rPr>
              <w:t>高中学位、托育、养老、通勤和住房是否跟上人口结构变化。</w:t>
            </w:r>
          </w:p>
        </w:tc>
      </w:tr>
    </w:tbl>
    <w:p>
      <w:bookmarkStart w:id="20" w:name="conclusion"/>
      <w:pPr>
        <w:pStyle w:val="Heading1"/>
      </w:pPr>
      <w:r>
        <w:t>十九、结论：真正的考题，是把“创新密度”转化为“产业厚度”</w:t>
      </w:r>
      <w:bookmarkEnd w:id="20"/>
    </w:p>
    <w:p>
      <w:pPr>
        <w:spacing w:after="100" w:line="348" w:lineRule="auto"/>
      </w:pPr>
      <w:r>
        <w:rPr>
          <w:rFonts w:ascii="Noto Sans CJK SC" w:hAnsi="Noto Sans CJK SC" w:eastAsia="Noto Sans CJK SC"/>
        </w:rPr>
        <w:t>2025年杭州市政府工作报告最值得研究的地方，是它把一座已经非常擅长数字经济和创新创业的城市，推向了下一阶段的难题：创新本身不再稀缺，稀缺的是把创新组织成大产业、长期投资、稳定就业与可持续财政的能力。</w:t>
      </w:r>
    </w:p>
    <w:p>
      <w:pPr>
        <w:spacing w:after="100" w:line="348" w:lineRule="auto"/>
      </w:pPr>
      <w:r>
        <w:rPr>
          <w:rFonts w:ascii="Noto Sans CJK SC" w:hAnsi="Noto Sans CJK SC" w:eastAsia="Noto Sans CJK SC"/>
        </w:rPr>
        <w:t>从这个角度看，人工智能、产业基金、工业土地、制造业投资、民间投资、数贸港和城市更新并不是互不相关的政策清单，而是在共同回答同一个问题：土地财政和传统投资边际减弱以后，杭州靠什么支撑下一轮城市增长？</w:t>
      </w:r>
    </w:p>
    <w:p>
      <w:pPr>
        <w:spacing w:after="100" w:line="348" w:lineRule="auto"/>
      </w:pPr>
      <w:r>
        <w:rPr>
          <w:rFonts w:ascii="Noto Sans CJK SC" w:hAnsi="Noto Sans CJK SC" w:eastAsia="Noto Sans CJK SC"/>
        </w:rPr>
        <w:t>2025年的实际结果给出了一个“部分成功、部分未完成”的答案：规上工业、数字经济和出口表现良好，证明新动能确实存在；但固定资产投资、消费和外资明显承压，说明新动能还没有完全填补旧动能的缺口。</w:t>
      </w:r>
    </w:p>
    <w:p>
      <w:pPr>
        <w:pStyle w:val="QuoteBox"/>
        <w:jc w:val="center"/>
      </w:pPr>
      <w:r>
        <w:rPr>
          <w:rFonts w:ascii="Noto Serif CJK SC" w:hAnsi="Noto Serif CJK SC" w:eastAsia="Noto Serif CJK SC"/>
          <w:b/>
          <w:color w:val="17365D"/>
          <w:sz w:val="26"/>
        </w:rPr>
        <w:t>杭州未来真正需要证明的，不是“能不能再出现下一个明星企业”，而是“能不能让成百上千家企业共同形成更厚的产业、投资、就业和税收基础”。</w:t>
      </w:r>
    </w:p>
    <w:p>
      <w:pPr>
        <w:spacing w:after="100" w:line="348" w:lineRule="auto"/>
      </w:pPr>
      <w:r>
        <w:rPr>
          <w:rFonts w:ascii="Noto Sans CJK SC" w:hAnsi="Noto Sans CJK SC" w:eastAsia="Noto Sans CJK SC"/>
        </w:rPr>
        <w:t>这也是读政府工作报告时最容易被忽略的一层：真正决定城市方向的，往往不是最响亮的关键词，而是稀缺资源正在被分配给谁，以及这些资源最终是否改变了经济结构。</w:t>
      </w:r>
    </w:p>
    <w:p>
      <w:r>
        <w:br w:type="page"/>
      </w:r>
    </w:p>
    <w:p>
      <w:bookmarkStart w:id="21" w:name="appendixA"/>
      <w:pPr>
        <w:pStyle w:val="Heading1"/>
      </w:pPr>
      <w:r>
        <w:t>附录A：核心数据速查</w:t>
      </w:r>
      <w:bookmarkEnd w:id="21"/>
    </w:p>
    <w:p>
      <w:pPr>
        <w:pStyle w:val="Heading2"/>
      </w:pPr>
      <w:r>
        <w:t>A1. 2024—2025主要指标</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835"/>
        <w:gridCol w:w="2098"/>
        <w:gridCol w:w="2098"/>
        <w:gridCol w:w="2324"/>
      </w:tblGrid>
      <w:tr>
        <w:trPr>
          <w:tblHeader w:val="true"/>
          <w:cantSplit/>
        </w:trPr>
        <w:tc>
          <w:tcPr>
            <w:tcW w:type="dxa" w:w="2408"/>
            <w:shd w:fill="275DAD"/>
          </w:tcPr>
          <w:p>
            <w:r>
              <w:rPr>
                <w:rFonts w:ascii="Noto Sans CJK SC" w:hAnsi="Noto Sans CJK SC" w:eastAsia="Noto Sans CJK SC"/>
                <w:b/>
                <w:color w:val="FFFFFF"/>
                <w:sz w:val="18"/>
              </w:rPr>
              <w:t>指标</w:t>
            </w:r>
          </w:p>
        </w:tc>
        <w:tc>
          <w:tcPr>
            <w:tcW w:type="dxa" w:w="2408"/>
            <w:shd w:fill="275DAD"/>
          </w:tcPr>
          <w:p>
            <w:r>
              <w:rPr>
                <w:rFonts w:ascii="Noto Sans CJK SC" w:hAnsi="Noto Sans CJK SC" w:eastAsia="Noto Sans CJK SC"/>
                <w:b/>
                <w:color w:val="FFFFFF"/>
                <w:sz w:val="18"/>
              </w:rPr>
              <w:t>2024</w:t>
            </w:r>
          </w:p>
        </w:tc>
        <w:tc>
          <w:tcPr>
            <w:tcW w:type="dxa" w:w="2408"/>
            <w:shd w:fill="275DAD"/>
          </w:tcPr>
          <w:p>
            <w:r>
              <w:rPr>
                <w:rFonts w:ascii="Noto Sans CJK SC" w:hAnsi="Noto Sans CJK SC" w:eastAsia="Noto Sans CJK SC"/>
                <w:b/>
                <w:color w:val="FFFFFF"/>
                <w:sz w:val="18"/>
              </w:rPr>
              <w:t>2025</w:t>
            </w:r>
          </w:p>
        </w:tc>
        <w:tc>
          <w:tcPr>
            <w:tcW w:type="dxa" w:w="2408"/>
            <w:shd w:fill="275DAD"/>
          </w:tcPr>
          <w:p>
            <w:r>
              <w:rPr>
                <w:rFonts w:ascii="Noto Sans CJK SC" w:hAnsi="Noto Sans CJK SC" w:eastAsia="Noto Sans CJK SC"/>
                <w:b/>
                <w:color w:val="FFFFFF"/>
                <w:sz w:val="18"/>
              </w:rPr>
              <w:t>备注</w:t>
            </w:r>
          </w:p>
        </w:tc>
      </w:tr>
      <w:tr>
        <w:trPr>
          <w:cantSplit/>
        </w:trPr>
        <w:tc>
          <w:tcPr>
            <w:tcW w:type="dxa" w:w="2835"/>
            <w:tcMar>
              <w:top w:w="90" w:type="dxa"/>
              <w:start w:w="110" w:type="dxa"/>
              <w:bottom w:w="90" w:type="dxa"/>
              <w:end w:w="110" w:type="dxa"/>
            </w:tcMar>
          </w:tcPr>
          <w:p>
            <w:r>
              <w:rPr>
                <w:rFonts w:ascii="Noto Sans CJK SC" w:hAnsi="Noto Sans CJK SC" w:eastAsia="Noto Sans CJK SC"/>
                <w:b/>
                <w:sz w:val="18"/>
              </w:rPr>
              <w:t>GDP增速</w:t>
            </w:r>
          </w:p>
        </w:tc>
        <w:tc>
          <w:tcPr>
            <w:tcW w:type="dxa" w:w="2098"/>
            <w:tcMar>
              <w:top w:w="90" w:type="dxa"/>
              <w:start w:w="110" w:type="dxa"/>
              <w:bottom w:w="90" w:type="dxa"/>
              <w:end w:w="110" w:type="dxa"/>
            </w:tcMar>
          </w:tcPr>
          <w:p>
            <w:r>
              <w:rPr>
                <w:rFonts w:ascii="Noto Sans CJK SC" w:hAnsi="Noto Sans CJK SC" w:eastAsia="Noto Sans CJK SC"/>
                <w:b w:val="0"/>
                <w:sz w:val="18"/>
              </w:rPr>
              <w:t>4.7%</w:t>
            </w:r>
          </w:p>
        </w:tc>
        <w:tc>
          <w:tcPr>
            <w:tcW w:type="dxa" w:w="2098"/>
            <w:tcMar>
              <w:top w:w="90" w:type="dxa"/>
              <w:start w:w="110" w:type="dxa"/>
              <w:bottom w:w="90" w:type="dxa"/>
              <w:end w:w="110" w:type="dxa"/>
            </w:tcMar>
          </w:tcPr>
          <w:p>
            <w:r>
              <w:rPr>
                <w:rFonts w:ascii="Noto Sans CJK SC" w:hAnsi="Noto Sans CJK SC" w:eastAsia="Noto Sans CJK SC"/>
                <w:b w:val="0"/>
                <w:sz w:val="18"/>
              </w:rPr>
              <w:t>5.2%</w:t>
            </w:r>
          </w:p>
        </w:tc>
        <w:tc>
          <w:tcPr>
            <w:tcW w:type="dxa" w:w="2324"/>
            <w:tcMar>
              <w:top w:w="90" w:type="dxa"/>
              <w:start w:w="110" w:type="dxa"/>
              <w:bottom w:w="90" w:type="dxa"/>
              <w:end w:w="110" w:type="dxa"/>
            </w:tcMar>
          </w:tcPr>
          <w:p>
            <w:r>
              <w:rPr>
                <w:rFonts w:ascii="Noto Sans CJK SC" w:hAnsi="Noto Sans CJK SC" w:eastAsia="Noto Sans CJK SC"/>
                <w:b w:val="0"/>
                <w:sz w:val="18"/>
              </w:rPr>
              <w:t>2025 GDP 23011亿元</w:t>
            </w:r>
          </w:p>
        </w:tc>
      </w:tr>
      <w:tr>
        <w:trPr>
          <w:cantSplit/>
        </w:trPr>
        <w:tc>
          <w:tcPr>
            <w:tcW w:type="dxa" w:w="2835"/>
            <w:tcMar>
              <w:top w:w="90" w:type="dxa"/>
              <w:start w:w="110" w:type="dxa"/>
              <w:bottom w:w="90" w:type="dxa"/>
              <w:end w:w="110" w:type="dxa"/>
            </w:tcMar>
            <w:shd w:fill="F7F9FC"/>
          </w:tcPr>
          <w:p>
            <w:r>
              <w:rPr>
                <w:rFonts w:ascii="Noto Sans CJK SC" w:hAnsi="Noto Sans CJK SC" w:eastAsia="Noto Sans CJK SC"/>
                <w:b/>
                <w:sz w:val="18"/>
              </w:rPr>
              <w:t>规上工业增加值增速</w:t>
            </w:r>
          </w:p>
        </w:tc>
        <w:tc>
          <w:tcPr>
            <w:tcW w:type="dxa" w:w="2098"/>
            <w:tcMar>
              <w:top w:w="90" w:type="dxa"/>
              <w:start w:w="110" w:type="dxa"/>
              <w:bottom w:w="90" w:type="dxa"/>
              <w:end w:w="110" w:type="dxa"/>
            </w:tcMar>
            <w:shd w:fill="F7F9FC"/>
          </w:tcPr>
          <w:p>
            <w:r>
              <w:rPr>
                <w:rFonts w:ascii="Noto Sans CJK SC" w:hAnsi="Noto Sans CJK SC" w:eastAsia="Noto Sans CJK SC"/>
                <w:b w:val="0"/>
                <w:sz w:val="18"/>
              </w:rPr>
              <w:t>4.0%</w:t>
            </w:r>
          </w:p>
        </w:tc>
        <w:tc>
          <w:tcPr>
            <w:tcW w:type="dxa" w:w="2098"/>
            <w:tcMar>
              <w:top w:w="90" w:type="dxa"/>
              <w:start w:w="110" w:type="dxa"/>
              <w:bottom w:w="90" w:type="dxa"/>
              <w:end w:w="110" w:type="dxa"/>
            </w:tcMar>
            <w:shd w:fill="F7F9FC"/>
          </w:tcPr>
          <w:p>
            <w:r>
              <w:rPr>
                <w:rFonts w:ascii="Noto Sans CJK SC" w:hAnsi="Noto Sans CJK SC" w:eastAsia="Noto Sans CJK SC"/>
                <w:b w:val="0"/>
                <w:sz w:val="18"/>
              </w:rPr>
              <w:t>6.0%</w:t>
            </w:r>
          </w:p>
        </w:tc>
        <w:tc>
          <w:tcPr>
            <w:tcW w:type="dxa" w:w="2324"/>
            <w:tcMar>
              <w:top w:w="90" w:type="dxa"/>
              <w:start w:w="110" w:type="dxa"/>
              <w:bottom w:w="90" w:type="dxa"/>
              <w:end w:w="110" w:type="dxa"/>
            </w:tcMar>
            <w:shd w:fill="F7F9FC"/>
          </w:tcPr>
          <w:p>
            <w:r>
              <w:rPr>
                <w:rFonts w:ascii="Noto Sans CJK SC" w:hAnsi="Noto Sans CJK SC" w:eastAsia="Noto Sans CJK SC"/>
                <w:b w:val="0"/>
                <w:sz w:val="18"/>
              </w:rPr>
              <w:t>工业新动能增强</w:t>
            </w:r>
          </w:p>
        </w:tc>
      </w:tr>
      <w:tr>
        <w:trPr>
          <w:cantSplit/>
        </w:trPr>
        <w:tc>
          <w:tcPr>
            <w:tcW w:type="dxa" w:w="2835"/>
            <w:tcMar>
              <w:top w:w="90" w:type="dxa"/>
              <w:start w:w="110" w:type="dxa"/>
              <w:bottom w:w="90" w:type="dxa"/>
              <w:end w:w="110" w:type="dxa"/>
            </w:tcMar>
          </w:tcPr>
          <w:p>
            <w:r>
              <w:rPr>
                <w:rFonts w:ascii="Noto Sans CJK SC" w:hAnsi="Noto Sans CJK SC" w:eastAsia="Noto Sans CJK SC"/>
                <w:b/>
                <w:sz w:val="18"/>
              </w:rPr>
              <w:t>社会消费品零售总额增速</w:t>
            </w:r>
          </w:p>
        </w:tc>
        <w:tc>
          <w:tcPr>
            <w:tcW w:type="dxa" w:w="2098"/>
            <w:tcMar>
              <w:top w:w="90" w:type="dxa"/>
              <w:start w:w="110" w:type="dxa"/>
              <w:bottom w:w="90" w:type="dxa"/>
              <w:end w:w="110" w:type="dxa"/>
            </w:tcMar>
          </w:tcPr>
          <w:p>
            <w:r>
              <w:rPr>
                <w:rFonts w:ascii="Noto Sans CJK SC" w:hAnsi="Noto Sans CJK SC" w:eastAsia="Noto Sans CJK SC"/>
                <w:b w:val="0"/>
                <w:sz w:val="18"/>
              </w:rPr>
              <w:t>2.8%</w:t>
            </w:r>
          </w:p>
        </w:tc>
        <w:tc>
          <w:tcPr>
            <w:tcW w:type="dxa" w:w="2098"/>
            <w:tcMar>
              <w:top w:w="90" w:type="dxa"/>
              <w:start w:w="110" w:type="dxa"/>
              <w:bottom w:w="90" w:type="dxa"/>
              <w:end w:w="110" w:type="dxa"/>
            </w:tcMar>
          </w:tcPr>
          <w:p>
            <w:r>
              <w:rPr>
                <w:rFonts w:ascii="Noto Sans CJK SC" w:hAnsi="Noto Sans CJK SC" w:eastAsia="Noto Sans CJK SC"/>
                <w:b w:val="0"/>
                <w:sz w:val="18"/>
              </w:rPr>
              <w:t>3.8%</w:t>
            </w:r>
          </w:p>
        </w:tc>
        <w:tc>
          <w:tcPr>
            <w:tcW w:type="dxa" w:w="2324"/>
            <w:tcMar>
              <w:top w:w="90" w:type="dxa"/>
              <w:start w:w="110" w:type="dxa"/>
              <w:bottom w:w="90" w:type="dxa"/>
              <w:end w:w="110" w:type="dxa"/>
            </w:tcMar>
          </w:tcPr>
          <w:p>
            <w:r>
              <w:rPr>
                <w:rFonts w:ascii="Noto Sans CJK SC" w:hAnsi="Noto Sans CJK SC" w:eastAsia="Noto Sans CJK SC"/>
                <w:b w:val="0"/>
                <w:sz w:val="18"/>
              </w:rPr>
              <w:t>修复但低于2025目标</w:t>
            </w:r>
          </w:p>
        </w:tc>
      </w:tr>
      <w:tr>
        <w:trPr>
          <w:cantSplit/>
        </w:trPr>
        <w:tc>
          <w:tcPr>
            <w:tcW w:type="dxa" w:w="2835"/>
            <w:tcMar>
              <w:top w:w="90" w:type="dxa"/>
              <w:start w:w="110" w:type="dxa"/>
              <w:bottom w:w="90" w:type="dxa"/>
              <w:end w:w="110" w:type="dxa"/>
            </w:tcMar>
            <w:shd w:fill="F7F9FC"/>
          </w:tcPr>
          <w:p>
            <w:r>
              <w:rPr>
                <w:rFonts w:ascii="Noto Sans CJK SC" w:hAnsi="Noto Sans CJK SC" w:eastAsia="Noto Sans CJK SC"/>
                <w:b/>
                <w:sz w:val="18"/>
              </w:rPr>
              <w:t>固定资产投资增速</w:t>
            </w:r>
          </w:p>
        </w:tc>
        <w:tc>
          <w:tcPr>
            <w:tcW w:type="dxa" w:w="2098"/>
            <w:tcMar>
              <w:top w:w="90" w:type="dxa"/>
              <w:start w:w="110" w:type="dxa"/>
              <w:bottom w:w="90" w:type="dxa"/>
              <w:end w:w="110" w:type="dxa"/>
            </w:tcMar>
            <w:shd w:fill="F7F9FC"/>
          </w:tcPr>
          <w:p>
            <w:r>
              <w:rPr>
                <w:rFonts w:ascii="Noto Sans CJK SC" w:hAnsi="Noto Sans CJK SC" w:eastAsia="Noto Sans CJK SC"/>
                <w:b w:val="0"/>
                <w:sz w:val="18"/>
              </w:rPr>
              <w:t>-2.9%</w:t>
            </w:r>
          </w:p>
        </w:tc>
        <w:tc>
          <w:tcPr>
            <w:tcW w:type="dxa" w:w="2098"/>
            <w:tcMar>
              <w:top w:w="90" w:type="dxa"/>
              <w:start w:w="110" w:type="dxa"/>
              <w:bottom w:w="90" w:type="dxa"/>
              <w:end w:w="110" w:type="dxa"/>
            </w:tcMar>
            <w:shd w:fill="F7F9FC"/>
          </w:tcPr>
          <w:p>
            <w:r>
              <w:rPr>
                <w:rFonts w:ascii="Noto Sans CJK SC" w:hAnsi="Noto Sans CJK SC" w:eastAsia="Noto Sans CJK SC"/>
                <w:b w:val="0"/>
                <w:sz w:val="18"/>
              </w:rPr>
              <w:t>-11.3%</w:t>
            </w:r>
          </w:p>
        </w:tc>
        <w:tc>
          <w:tcPr>
            <w:tcW w:type="dxa" w:w="2324"/>
            <w:tcMar>
              <w:top w:w="90" w:type="dxa"/>
              <w:start w:w="110" w:type="dxa"/>
              <w:bottom w:w="90" w:type="dxa"/>
              <w:end w:w="110" w:type="dxa"/>
            </w:tcMar>
            <w:shd w:fill="F7F9FC"/>
          </w:tcPr>
          <w:p>
            <w:r>
              <w:rPr>
                <w:rFonts w:ascii="Noto Sans CJK SC" w:hAnsi="Noto Sans CJK SC" w:eastAsia="Noto Sans CJK SC"/>
                <w:b w:val="0"/>
                <w:sz w:val="18"/>
              </w:rPr>
              <w:t>传统投资压力加大</w:t>
            </w:r>
          </w:p>
        </w:tc>
      </w:tr>
      <w:tr>
        <w:trPr>
          <w:cantSplit/>
        </w:trPr>
        <w:tc>
          <w:tcPr>
            <w:tcW w:type="dxa" w:w="2835"/>
            <w:tcMar>
              <w:top w:w="90" w:type="dxa"/>
              <w:start w:w="110" w:type="dxa"/>
              <w:bottom w:w="90" w:type="dxa"/>
              <w:end w:w="110" w:type="dxa"/>
            </w:tcMar>
          </w:tcPr>
          <w:p>
            <w:r>
              <w:rPr>
                <w:rFonts w:ascii="Noto Sans CJK SC" w:hAnsi="Noto Sans CJK SC" w:eastAsia="Noto Sans CJK SC"/>
                <w:b/>
                <w:sz w:val="18"/>
              </w:rPr>
              <w:t>工业投资增速</w:t>
            </w:r>
          </w:p>
        </w:tc>
        <w:tc>
          <w:tcPr>
            <w:tcW w:type="dxa" w:w="2098"/>
            <w:tcMar>
              <w:top w:w="90" w:type="dxa"/>
              <w:start w:w="110" w:type="dxa"/>
              <w:bottom w:w="90" w:type="dxa"/>
              <w:end w:w="110" w:type="dxa"/>
            </w:tcMar>
          </w:tcPr>
          <w:p>
            <w:r>
              <w:rPr>
                <w:rFonts w:ascii="Noto Sans CJK SC" w:hAnsi="Noto Sans CJK SC" w:eastAsia="Noto Sans CJK SC"/>
                <w:b w:val="0"/>
                <w:sz w:val="18"/>
              </w:rPr>
              <w:t>1.9%</w:t>
            </w:r>
          </w:p>
        </w:tc>
        <w:tc>
          <w:tcPr>
            <w:tcW w:type="dxa" w:w="2098"/>
            <w:tcMar>
              <w:top w:w="90" w:type="dxa"/>
              <w:start w:w="110" w:type="dxa"/>
              <w:bottom w:w="90" w:type="dxa"/>
              <w:end w:w="110" w:type="dxa"/>
            </w:tcMar>
          </w:tcPr>
          <w:p>
            <w:r>
              <w:rPr>
                <w:rFonts w:ascii="Noto Sans CJK SC" w:hAnsi="Noto Sans CJK SC" w:eastAsia="Noto Sans CJK SC"/>
                <w:b w:val="0"/>
                <w:sz w:val="18"/>
              </w:rPr>
              <w:t>5.2%</w:t>
            </w:r>
          </w:p>
        </w:tc>
        <w:tc>
          <w:tcPr>
            <w:tcW w:type="dxa" w:w="2324"/>
            <w:tcMar>
              <w:top w:w="90" w:type="dxa"/>
              <w:start w:w="110" w:type="dxa"/>
              <w:bottom w:w="90" w:type="dxa"/>
              <w:end w:w="110" w:type="dxa"/>
            </w:tcMar>
          </w:tcPr>
          <w:p>
            <w:r>
              <w:rPr>
                <w:rFonts w:ascii="Noto Sans CJK SC" w:hAnsi="Noto Sans CJK SC" w:eastAsia="Noto Sans CJK SC"/>
                <w:b w:val="0"/>
                <w:sz w:val="18"/>
              </w:rPr>
              <w:t>高于面上投资</w:t>
            </w:r>
          </w:p>
        </w:tc>
      </w:tr>
      <w:tr>
        <w:trPr>
          <w:cantSplit/>
        </w:trPr>
        <w:tc>
          <w:tcPr>
            <w:tcW w:type="dxa" w:w="2835"/>
            <w:tcMar>
              <w:top w:w="90" w:type="dxa"/>
              <w:start w:w="110" w:type="dxa"/>
              <w:bottom w:w="90" w:type="dxa"/>
              <w:end w:w="110" w:type="dxa"/>
            </w:tcMar>
            <w:shd w:fill="F7F9FC"/>
          </w:tcPr>
          <w:p>
            <w:r>
              <w:rPr>
                <w:rFonts w:ascii="Noto Sans CJK SC" w:hAnsi="Noto Sans CJK SC" w:eastAsia="Noto Sans CJK SC"/>
                <w:b/>
                <w:sz w:val="18"/>
              </w:rPr>
              <w:t>实际利用外资</w:t>
            </w:r>
          </w:p>
        </w:tc>
        <w:tc>
          <w:tcPr>
            <w:tcW w:type="dxa" w:w="2098"/>
            <w:tcMar>
              <w:top w:w="90" w:type="dxa"/>
              <w:start w:w="110" w:type="dxa"/>
              <w:bottom w:w="90" w:type="dxa"/>
              <w:end w:w="110" w:type="dxa"/>
            </w:tcMar>
            <w:shd w:fill="F7F9FC"/>
          </w:tcPr>
          <w:p>
            <w:r>
              <w:rPr>
                <w:rFonts w:ascii="Noto Sans CJK SC" w:hAnsi="Noto Sans CJK SC" w:eastAsia="Noto Sans CJK SC"/>
                <w:b w:val="0"/>
                <w:sz w:val="18"/>
              </w:rPr>
              <w:t>65.4亿美元</w:t>
            </w:r>
          </w:p>
        </w:tc>
        <w:tc>
          <w:tcPr>
            <w:tcW w:type="dxa" w:w="2098"/>
            <w:tcMar>
              <w:top w:w="90" w:type="dxa"/>
              <w:start w:w="110" w:type="dxa"/>
              <w:bottom w:w="90" w:type="dxa"/>
              <w:end w:w="110" w:type="dxa"/>
            </w:tcMar>
            <w:shd w:fill="F7F9FC"/>
          </w:tcPr>
          <w:p>
            <w:r>
              <w:rPr>
                <w:rFonts w:ascii="Noto Sans CJK SC" w:hAnsi="Noto Sans CJK SC" w:eastAsia="Noto Sans CJK SC"/>
                <w:b w:val="0"/>
                <w:sz w:val="18"/>
              </w:rPr>
              <w:t>约35.0亿美元</w:t>
            </w:r>
          </w:p>
        </w:tc>
        <w:tc>
          <w:tcPr>
            <w:tcW w:type="dxa" w:w="2324"/>
            <w:tcMar>
              <w:top w:w="90" w:type="dxa"/>
              <w:start w:w="110" w:type="dxa"/>
              <w:bottom w:w="90" w:type="dxa"/>
              <w:end w:w="110" w:type="dxa"/>
            </w:tcMar>
            <w:shd w:fill="F7F9FC"/>
          </w:tcPr>
          <w:p>
            <w:r>
              <w:rPr>
                <w:rFonts w:ascii="Noto Sans CJK SC" w:hAnsi="Noto Sans CJK SC" w:eastAsia="Noto Sans CJK SC"/>
                <w:b w:val="0"/>
                <w:sz w:val="18"/>
              </w:rPr>
              <w:t>2025同比-46.4%</w:t>
            </w:r>
          </w:p>
        </w:tc>
      </w:tr>
      <w:tr>
        <w:trPr>
          <w:cantSplit/>
        </w:trPr>
        <w:tc>
          <w:tcPr>
            <w:tcW w:type="dxa" w:w="2835"/>
            <w:tcMar>
              <w:top w:w="90" w:type="dxa"/>
              <w:start w:w="110" w:type="dxa"/>
              <w:bottom w:w="90" w:type="dxa"/>
              <w:end w:w="110" w:type="dxa"/>
            </w:tcMar>
          </w:tcPr>
          <w:p>
            <w:r>
              <w:rPr>
                <w:rFonts w:ascii="Noto Sans CJK SC" w:hAnsi="Noto Sans CJK SC" w:eastAsia="Noto Sans CJK SC"/>
                <w:b/>
                <w:sz w:val="18"/>
              </w:rPr>
              <w:t>货物出口</w:t>
            </w:r>
          </w:p>
        </w:tc>
        <w:tc>
          <w:tcPr>
            <w:tcW w:type="dxa" w:w="2098"/>
            <w:tcMar>
              <w:top w:w="90" w:type="dxa"/>
              <w:start w:w="110" w:type="dxa"/>
              <w:bottom w:w="90" w:type="dxa"/>
              <w:end w:w="110" w:type="dxa"/>
            </w:tcMar>
          </w:tcPr>
          <w:p>
            <w:r>
              <w:rPr>
                <w:rFonts w:ascii="Noto Sans CJK SC" w:hAnsi="Noto Sans CJK SC" w:eastAsia="Noto Sans CJK SC"/>
                <w:b w:val="0"/>
                <w:sz w:val="18"/>
              </w:rPr>
              <w:t>5950亿元、+11.5%</w:t>
            </w:r>
          </w:p>
        </w:tc>
        <w:tc>
          <w:tcPr>
            <w:tcW w:type="dxa" w:w="2098"/>
            <w:tcMar>
              <w:top w:w="90" w:type="dxa"/>
              <w:start w:w="110" w:type="dxa"/>
              <w:bottom w:w="90" w:type="dxa"/>
              <w:end w:w="110" w:type="dxa"/>
            </w:tcMar>
          </w:tcPr>
          <w:p>
            <w:r>
              <w:rPr>
                <w:rFonts w:ascii="Noto Sans CJK SC" w:hAnsi="Noto Sans CJK SC" w:eastAsia="Noto Sans CJK SC"/>
                <w:b w:val="0"/>
                <w:sz w:val="18"/>
              </w:rPr>
              <w:t>6469亿元、+8.7%</w:t>
            </w:r>
          </w:p>
        </w:tc>
        <w:tc>
          <w:tcPr>
            <w:tcW w:type="dxa" w:w="2324"/>
            <w:tcMar>
              <w:top w:w="90" w:type="dxa"/>
              <w:start w:w="110" w:type="dxa"/>
              <w:bottom w:w="90" w:type="dxa"/>
              <w:end w:w="110" w:type="dxa"/>
            </w:tcMar>
          </w:tcPr>
          <w:p>
            <w:r>
              <w:rPr>
                <w:rFonts w:ascii="Noto Sans CJK SC" w:hAnsi="Noto Sans CJK SC" w:eastAsia="Noto Sans CJK SC"/>
                <w:b w:val="0"/>
                <w:sz w:val="18"/>
              </w:rPr>
              <w:t>保持较强增长</w:t>
            </w:r>
          </w:p>
        </w:tc>
      </w:tr>
      <w:tr>
        <w:trPr>
          <w:cantSplit/>
        </w:trPr>
        <w:tc>
          <w:tcPr>
            <w:tcW w:type="dxa" w:w="2835"/>
            <w:tcMar>
              <w:top w:w="90" w:type="dxa"/>
              <w:start w:w="110" w:type="dxa"/>
              <w:bottom w:w="90" w:type="dxa"/>
              <w:end w:w="110" w:type="dxa"/>
            </w:tcMar>
            <w:shd w:fill="F7F9FC"/>
          </w:tcPr>
          <w:p>
            <w:r>
              <w:rPr>
                <w:rFonts w:ascii="Noto Sans CJK SC" w:hAnsi="Noto Sans CJK SC" w:eastAsia="Noto Sans CJK SC"/>
                <w:b/>
                <w:sz w:val="18"/>
              </w:rPr>
              <w:t>地方政府债务余额</w:t>
            </w:r>
          </w:p>
        </w:tc>
        <w:tc>
          <w:tcPr>
            <w:tcW w:type="dxa" w:w="2098"/>
            <w:tcMar>
              <w:top w:w="90" w:type="dxa"/>
              <w:start w:w="110" w:type="dxa"/>
              <w:bottom w:w="90" w:type="dxa"/>
              <w:end w:w="110" w:type="dxa"/>
            </w:tcMar>
            <w:shd w:fill="F7F9FC"/>
          </w:tcPr>
          <w:p>
            <w:r>
              <w:rPr>
                <w:rFonts w:ascii="Noto Sans CJK SC" w:hAnsi="Noto Sans CJK SC" w:eastAsia="Noto Sans CJK SC"/>
                <w:b w:val="0"/>
                <w:sz w:val="18"/>
              </w:rPr>
              <w:t>4464.9亿元</w:t>
            </w:r>
          </w:p>
        </w:tc>
        <w:tc>
          <w:tcPr>
            <w:tcW w:type="dxa" w:w="2098"/>
            <w:tcMar>
              <w:top w:w="90" w:type="dxa"/>
              <w:start w:w="110" w:type="dxa"/>
              <w:bottom w:w="90" w:type="dxa"/>
              <w:end w:w="110" w:type="dxa"/>
            </w:tcMar>
            <w:shd w:fill="F7F9FC"/>
          </w:tcPr>
          <w:p>
            <w:r>
              <w:rPr>
                <w:rFonts w:ascii="Noto Sans CJK SC" w:hAnsi="Noto Sans CJK SC" w:eastAsia="Noto Sans CJK SC"/>
                <w:b w:val="0"/>
                <w:sz w:val="18"/>
              </w:rPr>
              <w:t>5089.8亿元</w:t>
            </w:r>
          </w:p>
        </w:tc>
        <w:tc>
          <w:tcPr>
            <w:tcW w:type="dxa" w:w="2324"/>
            <w:tcMar>
              <w:top w:w="90" w:type="dxa"/>
              <w:start w:w="110" w:type="dxa"/>
              <w:bottom w:w="90" w:type="dxa"/>
              <w:end w:w="110" w:type="dxa"/>
            </w:tcMar>
            <w:shd w:fill="F7F9FC"/>
          </w:tcPr>
          <w:p>
            <w:r>
              <w:rPr>
                <w:rFonts w:ascii="Noto Sans CJK SC" w:hAnsi="Noto Sans CJK SC" w:eastAsia="Noto Sans CJK SC"/>
                <w:b w:val="0"/>
                <w:sz w:val="18"/>
              </w:rPr>
              <w:t>均在核定限额内</w:t>
            </w:r>
          </w:p>
        </w:tc>
      </w:tr>
    </w:tbl>
    <w:p>
      <w:pPr>
        <w:spacing w:before="0" w:after="100"/>
      </w:pPr>
      <w:r>
        <w:rPr>
          <w:rFonts w:ascii="Noto Sans CJK SC" w:hAnsi="Noto Sans CJK SC" w:eastAsia="Noto Sans CJK SC"/>
          <w:color w:val="69717D"/>
          <w:sz w:val="17"/>
        </w:rPr>
        <w:t>资料依据：[2]、[3]、[4]、[6]</w:t>
      </w:r>
    </w:p>
    <w:p>
      <w:pPr>
        <w:pStyle w:val="Heading2"/>
      </w:pPr>
      <w:r>
        <w:t>A2. 2025报告中的关键产业与要素目标</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969"/>
        <w:gridCol w:w="5272"/>
      </w:tblGrid>
      <w:tr>
        <w:trPr>
          <w:tblHeader w:val="true"/>
          <w:cantSplit/>
        </w:trPr>
        <w:tc>
          <w:tcPr>
            <w:tcW w:type="dxa" w:w="4816"/>
            <w:shd w:fill="17365D"/>
          </w:tcPr>
          <w:p>
            <w:r>
              <w:rPr>
                <w:rFonts w:ascii="Noto Sans CJK SC" w:hAnsi="Noto Sans CJK SC" w:eastAsia="Noto Sans CJK SC"/>
                <w:b/>
                <w:color w:val="FFFFFF"/>
                <w:sz w:val="18"/>
              </w:rPr>
              <w:t>事项</w:t>
            </w:r>
          </w:p>
        </w:tc>
        <w:tc>
          <w:tcPr>
            <w:tcW w:type="dxa" w:w="4816"/>
            <w:shd w:fill="17365D"/>
          </w:tcPr>
          <w:p>
            <w:r>
              <w:rPr>
                <w:rFonts w:ascii="Noto Sans CJK SC" w:hAnsi="Noto Sans CJK SC" w:eastAsia="Noto Sans CJK SC"/>
                <w:b/>
                <w:color w:val="FFFFFF"/>
                <w:sz w:val="18"/>
              </w:rPr>
              <w:t>2025目标</w:t>
            </w:r>
          </w:p>
        </w:tc>
      </w:tr>
      <w:tr>
        <w:trPr>
          <w:cantSplit/>
        </w:trPr>
        <w:tc>
          <w:tcPr>
            <w:tcW w:type="dxa" w:w="3969"/>
            <w:tcMar>
              <w:top w:w="90" w:type="dxa"/>
              <w:start w:w="110" w:type="dxa"/>
              <w:bottom w:w="90" w:type="dxa"/>
              <w:end w:w="110" w:type="dxa"/>
            </w:tcMar>
          </w:tcPr>
          <w:p>
            <w:r>
              <w:rPr>
                <w:rFonts w:ascii="Noto Sans CJK SC" w:hAnsi="Noto Sans CJK SC" w:eastAsia="Noto Sans CJK SC"/>
                <w:b/>
                <w:sz w:val="18"/>
              </w:rPr>
              <w:t>GDP</w:t>
            </w:r>
          </w:p>
        </w:tc>
        <w:tc>
          <w:tcPr>
            <w:tcW w:type="dxa" w:w="5272"/>
            <w:tcMar>
              <w:top w:w="90" w:type="dxa"/>
              <w:start w:w="110" w:type="dxa"/>
              <w:bottom w:w="90" w:type="dxa"/>
              <w:end w:w="110" w:type="dxa"/>
            </w:tcMar>
          </w:tcPr>
          <w:p>
            <w:r>
              <w:rPr>
                <w:rFonts w:ascii="Noto Sans CJK SC" w:hAnsi="Noto Sans CJK SC" w:eastAsia="Noto Sans CJK SC"/>
                <w:b w:val="0"/>
                <w:sz w:val="18"/>
              </w:rPr>
              <w:t>增长5.5%左右</w:t>
            </w:r>
          </w:p>
        </w:tc>
      </w:tr>
      <w:tr>
        <w:trPr>
          <w:cantSplit/>
        </w:trPr>
        <w:tc>
          <w:tcPr>
            <w:tcW w:type="dxa" w:w="3969"/>
            <w:shd w:fill="F7F9FC"/>
            <w:tcMar>
              <w:top w:w="90" w:type="dxa"/>
              <w:start w:w="110" w:type="dxa"/>
              <w:bottom w:w="90" w:type="dxa"/>
              <w:end w:w="110" w:type="dxa"/>
            </w:tcMar>
          </w:tcPr>
          <w:p>
            <w:r>
              <w:rPr>
                <w:rFonts w:ascii="Noto Sans CJK SC" w:hAnsi="Noto Sans CJK SC" w:eastAsia="Noto Sans CJK SC"/>
                <w:b/>
                <w:sz w:val="18"/>
              </w:rPr>
              <w:t>研发投入强度</w:t>
            </w:r>
          </w:p>
        </w:tc>
        <w:tc>
          <w:tcPr>
            <w:tcW w:type="dxa" w:w="5272"/>
            <w:shd w:fill="F7F9FC"/>
            <w:tcMar>
              <w:top w:w="90" w:type="dxa"/>
              <w:start w:w="110" w:type="dxa"/>
              <w:bottom w:w="90" w:type="dxa"/>
              <w:end w:w="110" w:type="dxa"/>
            </w:tcMar>
          </w:tcPr>
          <w:p>
            <w:r>
              <w:rPr>
                <w:rFonts w:ascii="Noto Sans CJK SC" w:hAnsi="Noto Sans CJK SC" w:eastAsia="Noto Sans CJK SC"/>
                <w:b w:val="0"/>
                <w:sz w:val="18"/>
              </w:rPr>
              <w:t>4%以上</w:t>
            </w:r>
          </w:p>
        </w:tc>
      </w:tr>
      <w:tr>
        <w:trPr>
          <w:cantSplit/>
        </w:trPr>
        <w:tc>
          <w:tcPr>
            <w:tcW w:type="dxa" w:w="3969"/>
            <w:tcMar>
              <w:top w:w="90" w:type="dxa"/>
              <w:start w:w="110" w:type="dxa"/>
              <w:bottom w:w="90" w:type="dxa"/>
              <w:end w:w="110" w:type="dxa"/>
            </w:tcMar>
          </w:tcPr>
          <w:p>
            <w:r>
              <w:rPr>
                <w:rFonts w:ascii="Noto Sans CJK SC" w:hAnsi="Noto Sans CJK SC" w:eastAsia="Noto Sans CJK SC"/>
                <w:b/>
                <w:sz w:val="18"/>
              </w:rPr>
              <w:t>数字经济核心产业增加值</w:t>
            </w:r>
          </w:p>
        </w:tc>
        <w:tc>
          <w:tcPr>
            <w:tcW w:type="dxa" w:w="5272"/>
            <w:tcMar>
              <w:top w:w="90" w:type="dxa"/>
              <w:start w:w="110" w:type="dxa"/>
              <w:bottom w:w="90" w:type="dxa"/>
              <w:end w:w="110" w:type="dxa"/>
            </w:tcMar>
          </w:tcPr>
          <w:p>
            <w:r>
              <w:rPr>
                <w:rFonts w:ascii="Noto Sans CJK SC" w:hAnsi="Noto Sans CJK SC" w:eastAsia="Noto Sans CJK SC"/>
                <w:b w:val="0"/>
                <w:sz w:val="18"/>
              </w:rPr>
              <w:t>增长6%，占GDP力争29%</w:t>
            </w:r>
          </w:p>
        </w:tc>
      </w:tr>
      <w:tr>
        <w:trPr>
          <w:cantSplit/>
        </w:trPr>
        <w:tc>
          <w:tcPr>
            <w:tcW w:type="dxa" w:w="3969"/>
            <w:shd w:fill="F7F9FC"/>
            <w:tcMar>
              <w:top w:w="90" w:type="dxa"/>
              <w:start w:w="110" w:type="dxa"/>
              <w:bottom w:w="90" w:type="dxa"/>
              <w:end w:w="110" w:type="dxa"/>
            </w:tcMar>
          </w:tcPr>
          <w:p>
            <w:r>
              <w:rPr>
                <w:rFonts w:ascii="Noto Sans CJK SC" w:hAnsi="Noto Sans CJK SC" w:eastAsia="Noto Sans CJK SC"/>
                <w:b/>
                <w:sz w:val="18"/>
              </w:rPr>
              <w:t>规上工业增加值</w:t>
            </w:r>
          </w:p>
        </w:tc>
        <w:tc>
          <w:tcPr>
            <w:tcW w:type="dxa" w:w="5272"/>
            <w:shd w:fill="F7F9FC"/>
            <w:tcMar>
              <w:top w:w="90" w:type="dxa"/>
              <w:start w:w="110" w:type="dxa"/>
              <w:bottom w:w="90" w:type="dxa"/>
              <w:end w:w="110" w:type="dxa"/>
            </w:tcMar>
          </w:tcPr>
          <w:p>
            <w:r>
              <w:rPr>
                <w:rFonts w:ascii="Noto Sans CJK SC" w:hAnsi="Noto Sans CJK SC" w:eastAsia="Noto Sans CJK SC"/>
                <w:b w:val="0"/>
                <w:sz w:val="18"/>
              </w:rPr>
              <w:t>增长5.5%左右</w:t>
            </w:r>
          </w:p>
        </w:tc>
      </w:tr>
      <w:tr>
        <w:trPr>
          <w:cantSplit/>
        </w:trPr>
        <w:tc>
          <w:tcPr>
            <w:tcW w:type="dxa" w:w="3969"/>
            <w:tcMar>
              <w:top w:w="90" w:type="dxa"/>
              <w:start w:w="110" w:type="dxa"/>
              <w:bottom w:w="90" w:type="dxa"/>
              <w:end w:w="110" w:type="dxa"/>
            </w:tcMar>
          </w:tcPr>
          <w:p>
            <w:r>
              <w:rPr>
                <w:rFonts w:ascii="Noto Sans CJK SC" w:hAnsi="Noto Sans CJK SC" w:eastAsia="Noto Sans CJK SC"/>
                <w:b/>
                <w:sz w:val="18"/>
              </w:rPr>
              <w:t>生产性服务业营收</w:t>
            </w:r>
          </w:p>
        </w:tc>
        <w:tc>
          <w:tcPr>
            <w:tcW w:type="dxa" w:w="5272"/>
            <w:tcMar>
              <w:top w:w="90" w:type="dxa"/>
              <w:start w:w="110" w:type="dxa"/>
              <w:bottom w:w="90" w:type="dxa"/>
              <w:end w:w="110" w:type="dxa"/>
            </w:tcMar>
          </w:tcPr>
          <w:p>
            <w:r>
              <w:rPr>
                <w:rFonts w:ascii="Noto Sans CJK SC" w:hAnsi="Noto Sans CJK SC" w:eastAsia="Noto Sans CJK SC"/>
                <w:b w:val="0"/>
                <w:sz w:val="18"/>
              </w:rPr>
              <w:t>力争突破2.1万亿元</w:t>
            </w:r>
          </w:p>
        </w:tc>
      </w:tr>
      <w:tr>
        <w:trPr>
          <w:cantSplit/>
        </w:trPr>
        <w:tc>
          <w:tcPr>
            <w:tcW w:type="dxa" w:w="3969"/>
            <w:shd w:fill="F7F9FC"/>
            <w:tcMar>
              <w:top w:w="90" w:type="dxa"/>
              <w:start w:w="110" w:type="dxa"/>
              <w:bottom w:w="90" w:type="dxa"/>
              <w:end w:w="110" w:type="dxa"/>
            </w:tcMar>
          </w:tcPr>
          <w:p>
            <w:r>
              <w:rPr>
                <w:rFonts w:ascii="Noto Sans CJK SC" w:hAnsi="Noto Sans CJK SC" w:eastAsia="Noto Sans CJK SC"/>
                <w:b/>
                <w:sz w:val="18"/>
              </w:rPr>
              <w:t>工业用地</w:t>
            </w:r>
          </w:p>
        </w:tc>
        <w:tc>
          <w:tcPr>
            <w:tcW w:type="dxa" w:w="5272"/>
            <w:shd w:fill="F7F9FC"/>
            <w:tcMar>
              <w:top w:w="90" w:type="dxa"/>
              <w:start w:w="110" w:type="dxa"/>
              <w:bottom w:w="90" w:type="dxa"/>
              <w:end w:w="110" w:type="dxa"/>
            </w:tcMar>
          </w:tcPr>
          <w:p>
            <w:r>
              <w:rPr>
                <w:rFonts w:ascii="Noto Sans CJK SC" w:hAnsi="Noto Sans CJK SC" w:eastAsia="Noto Sans CJK SC"/>
                <w:b w:val="0"/>
                <w:sz w:val="18"/>
              </w:rPr>
              <w:t>供应1万亩</w:t>
            </w:r>
          </w:p>
        </w:tc>
      </w:tr>
      <w:tr>
        <w:trPr>
          <w:cantSplit/>
        </w:trPr>
        <w:tc>
          <w:tcPr>
            <w:tcW w:type="dxa" w:w="3969"/>
            <w:tcMar>
              <w:top w:w="90" w:type="dxa"/>
              <w:start w:w="110" w:type="dxa"/>
              <w:bottom w:w="90" w:type="dxa"/>
              <w:end w:w="110" w:type="dxa"/>
            </w:tcMar>
          </w:tcPr>
          <w:p>
            <w:r>
              <w:rPr>
                <w:rFonts w:ascii="Noto Sans CJK SC" w:hAnsi="Noto Sans CJK SC" w:eastAsia="Noto Sans CJK SC"/>
                <w:b/>
                <w:sz w:val="18"/>
              </w:rPr>
              <w:t>工业上楼</w:t>
            </w:r>
          </w:p>
        </w:tc>
        <w:tc>
          <w:tcPr>
            <w:tcW w:type="dxa" w:w="5272"/>
            <w:tcMar>
              <w:top w:w="90" w:type="dxa"/>
              <w:start w:w="110" w:type="dxa"/>
              <w:bottom w:w="90" w:type="dxa"/>
              <w:end w:w="110" w:type="dxa"/>
            </w:tcMar>
          </w:tcPr>
          <w:p>
            <w:r>
              <w:rPr>
                <w:rFonts w:ascii="Noto Sans CJK SC" w:hAnsi="Noto Sans CJK SC" w:eastAsia="Noto Sans CJK SC"/>
                <w:b w:val="0"/>
                <w:sz w:val="18"/>
              </w:rPr>
              <w:t>250万平方米</w:t>
            </w:r>
          </w:p>
        </w:tc>
      </w:tr>
      <w:tr>
        <w:trPr>
          <w:cantSplit/>
        </w:trPr>
        <w:tc>
          <w:tcPr>
            <w:tcW w:type="dxa" w:w="3969"/>
            <w:shd w:fill="F7F9FC"/>
            <w:tcMar>
              <w:top w:w="90" w:type="dxa"/>
              <w:start w:w="110" w:type="dxa"/>
              <w:bottom w:w="90" w:type="dxa"/>
              <w:end w:w="110" w:type="dxa"/>
            </w:tcMar>
          </w:tcPr>
          <w:p>
            <w:r>
              <w:rPr>
                <w:rFonts w:ascii="Noto Sans CJK SC" w:hAnsi="Noto Sans CJK SC" w:eastAsia="Noto Sans CJK SC"/>
                <w:b/>
                <w:sz w:val="18"/>
              </w:rPr>
              <w:t>制造业投资</w:t>
            </w:r>
          </w:p>
        </w:tc>
        <w:tc>
          <w:tcPr>
            <w:tcW w:type="dxa" w:w="5272"/>
            <w:shd w:fill="F7F9FC"/>
            <w:tcMar>
              <w:top w:w="90" w:type="dxa"/>
              <w:start w:w="110" w:type="dxa"/>
              <w:bottom w:w="90" w:type="dxa"/>
              <w:end w:w="110" w:type="dxa"/>
            </w:tcMar>
          </w:tcPr>
          <w:p>
            <w:r>
              <w:rPr>
                <w:rFonts w:ascii="Noto Sans CJK SC" w:hAnsi="Noto Sans CJK SC" w:eastAsia="Noto Sans CJK SC"/>
                <w:b w:val="0"/>
                <w:sz w:val="18"/>
              </w:rPr>
              <w:t>力争增长10%、占投资15%以上</w:t>
            </w:r>
          </w:p>
        </w:tc>
      </w:tr>
      <w:tr>
        <w:trPr>
          <w:cantSplit/>
        </w:trPr>
        <w:tc>
          <w:tcPr>
            <w:tcW w:type="dxa" w:w="3969"/>
            <w:tcMar>
              <w:top w:w="90" w:type="dxa"/>
              <w:start w:w="110" w:type="dxa"/>
              <w:bottom w:w="90" w:type="dxa"/>
              <w:end w:w="110" w:type="dxa"/>
            </w:tcMar>
          </w:tcPr>
          <w:p>
            <w:r>
              <w:rPr>
                <w:rFonts w:ascii="Noto Sans CJK SC" w:hAnsi="Noto Sans CJK SC" w:eastAsia="Noto Sans CJK SC"/>
                <w:b/>
                <w:sz w:val="18"/>
              </w:rPr>
              <w:t>35岁以下大学生</w:t>
            </w:r>
          </w:p>
        </w:tc>
        <w:tc>
          <w:tcPr>
            <w:tcW w:type="dxa" w:w="5272"/>
            <w:tcMar>
              <w:top w:w="90" w:type="dxa"/>
              <w:start w:w="110" w:type="dxa"/>
              <w:bottom w:w="90" w:type="dxa"/>
              <w:end w:w="110" w:type="dxa"/>
            </w:tcMar>
          </w:tcPr>
          <w:p>
            <w:r>
              <w:rPr>
                <w:rFonts w:ascii="Noto Sans CJK SC" w:hAnsi="Noto Sans CJK SC" w:eastAsia="Noto Sans CJK SC"/>
                <w:b w:val="0"/>
                <w:sz w:val="18"/>
              </w:rPr>
              <w:t>35万人以上</w:t>
            </w:r>
          </w:p>
        </w:tc>
      </w:tr>
      <w:tr>
        <w:trPr>
          <w:cantSplit/>
        </w:trPr>
        <w:tc>
          <w:tcPr>
            <w:tcW w:type="dxa" w:w="3969"/>
            <w:shd w:fill="F7F9FC"/>
            <w:tcMar>
              <w:top w:w="90" w:type="dxa"/>
              <w:start w:w="110" w:type="dxa"/>
              <w:bottom w:w="90" w:type="dxa"/>
              <w:end w:w="110" w:type="dxa"/>
            </w:tcMar>
          </w:tcPr>
          <w:p>
            <w:r>
              <w:rPr>
                <w:rFonts w:ascii="Noto Sans CJK SC" w:hAnsi="Noto Sans CJK SC" w:eastAsia="Noto Sans CJK SC"/>
                <w:b/>
                <w:sz w:val="18"/>
              </w:rPr>
              <w:t>实际利用外资</w:t>
            </w:r>
          </w:p>
        </w:tc>
        <w:tc>
          <w:tcPr>
            <w:tcW w:type="dxa" w:w="5272"/>
            <w:shd w:fill="F7F9FC"/>
            <w:tcMar>
              <w:top w:w="90" w:type="dxa"/>
              <w:start w:w="110" w:type="dxa"/>
              <w:bottom w:w="90" w:type="dxa"/>
              <w:end w:w="110" w:type="dxa"/>
            </w:tcMar>
          </w:tcPr>
          <w:p>
            <w:r>
              <w:rPr>
                <w:rFonts w:ascii="Noto Sans CJK SC" w:hAnsi="Noto Sans CJK SC" w:eastAsia="Noto Sans CJK SC"/>
                <w:b w:val="0"/>
                <w:sz w:val="18"/>
              </w:rPr>
              <w:t>70亿美元</w:t>
            </w:r>
          </w:p>
        </w:tc>
      </w:tr>
      <w:tr>
        <w:trPr>
          <w:cantSplit/>
        </w:trPr>
        <w:tc>
          <w:tcPr>
            <w:tcW w:type="dxa" w:w="3969"/>
            <w:tcMar>
              <w:top w:w="90" w:type="dxa"/>
              <w:start w:w="110" w:type="dxa"/>
              <w:bottom w:w="90" w:type="dxa"/>
              <w:end w:w="110" w:type="dxa"/>
            </w:tcMar>
          </w:tcPr>
          <w:p>
            <w:r>
              <w:rPr>
                <w:rFonts w:ascii="Noto Sans CJK SC" w:hAnsi="Noto Sans CJK SC" w:eastAsia="Noto Sans CJK SC"/>
                <w:b/>
                <w:sz w:val="18"/>
              </w:rPr>
              <w:t>跨境电商出口</w:t>
            </w:r>
          </w:p>
        </w:tc>
        <w:tc>
          <w:tcPr>
            <w:tcW w:type="dxa" w:w="5272"/>
            <w:tcMar>
              <w:top w:w="90" w:type="dxa"/>
              <w:start w:w="110" w:type="dxa"/>
              <w:bottom w:w="90" w:type="dxa"/>
              <w:end w:w="110" w:type="dxa"/>
            </w:tcMar>
          </w:tcPr>
          <w:p>
            <w:r>
              <w:rPr>
                <w:rFonts w:ascii="Noto Sans CJK SC" w:hAnsi="Noto Sans CJK SC" w:eastAsia="Noto Sans CJK SC"/>
                <w:b w:val="0"/>
                <w:sz w:val="18"/>
              </w:rPr>
              <w:t>900亿元、力争1050亿元</w:t>
            </w:r>
          </w:p>
        </w:tc>
      </w:tr>
      <w:tr>
        <w:trPr>
          <w:cantSplit/>
        </w:trPr>
        <w:tc>
          <w:tcPr>
            <w:tcW w:type="dxa" w:w="3969"/>
            <w:shd w:fill="F7F9FC"/>
            <w:tcMar>
              <w:top w:w="90" w:type="dxa"/>
              <w:start w:w="110" w:type="dxa"/>
              <w:bottom w:w="90" w:type="dxa"/>
              <w:end w:w="110" w:type="dxa"/>
            </w:tcMar>
          </w:tcPr>
          <w:p>
            <w:r>
              <w:rPr>
                <w:rFonts w:ascii="Noto Sans CJK SC" w:hAnsi="Noto Sans CJK SC" w:eastAsia="Noto Sans CJK SC"/>
                <w:b/>
                <w:sz w:val="18"/>
              </w:rPr>
              <w:t>产业基金集群</w:t>
            </w:r>
          </w:p>
        </w:tc>
        <w:tc>
          <w:tcPr>
            <w:tcW w:type="dxa" w:w="5272"/>
            <w:shd w:fill="F7F9FC"/>
            <w:tcMar>
              <w:top w:w="90" w:type="dxa"/>
              <w:start w:w="110" w:type="dxa"/>
              <w:bottom w:w="90" w:type="dxa"/>
              <w:end w:w="110" w:type="dxa"/>
            </w:tcMar>
          </w:tcPr>
          <w:p>
            <w:r>
              <w:rPr>
                <w:rFonts w:ascii="Noto Sans CJK SC" w:hAnsi="Noto Sans CJK SC" w:eastAsia="Noto Sans CJK SC"/>
                <w:b w:val="0"/>
                <w:sz w:val="18"/>
              </w:rPr>
              <w:t>力争突破3000亿元</w:t>
            </w:r>
          </w:p>
        </w:tc>
      </w:tr>
    </w:tbl>
    <w:p>
      <w:pPr>
        <w:spacing w:before="0" w:after="100"/>
      </w:pPr>
      <w:r>
        <w:rPr>
          <w:rFonts w:ascii="Noto Sans CJK SC" w:hAnsi="Noto Sans CJK SC" w:eastAsia="Noto Sans CJK SC"/>
          <w:color w:val="69717D"/>
          <w:sz w:val="17"/>
        </w:rPr>
        <w:t>资料依据：[1]</w:t>
      </w:r>
    </w:p>
    <w:p>
      <w:bookmarkStart w:id="22" w:name="refs"/>
      <w:pPr>
        <w:pStyle w:val="Heading1"/>
      </w:pPr>
      <w:r>
        <w:t>附录B：主要资料来源</w:t>
      </w:r>
      <w:bookmarkEnd w:id="22"/>
    </w:p>
    <w:p>
      <w:pPr>
        <w:spacing w:after="120" w:line="312" w:lineRule="auto"/>
      </w:pPr>
      <w:r>
        <w:rPr>
          <w:rFonts w:ascii="Noto Sans CJK SC" w:hAnsi="Noto Sans CJK SC" w:eastAsia="Noto Sans CJK SC"/>
          <w:sz w:val="18"/>
        </w:rPr>
        <w:t xml:space="preserve">[1] 杭州市人民政府办公厅：《政府工作报告》（2025年5月22日在杭州市第十四届人民代表大会第五次会议上）  </w:t>
      </w:r>
      <w:hyperlink r:id="rId15">
        <w:r>
          <w:rPr>
            <w:color w:val="275DAD"/>
            <w:u w:val="single"/>
            <w:rFonts w:ascii="Noto Sans CJK SC" w:hAnsi="Noto Sans CJK SC" w:eastAsia="Noto Sans CJK SC"/>
          </w:rPr>
          <w:t>访问原文</w:t>
        </w:r>
      </w:hyperlink>
    </w:p>
    <w:p>
      <w:pPr>
        <w:spacing w:after="120" w:line="312" w:lineRule="auto"/>
      </w:pPr>
      <w:r>
        <w:rPr>
          <w:rFonts w:ascii="Noto Sans CJK SC" w:hAnsi="Noto Sans CJK SC" w:eastAsia="Noto Sans CJK SC"/>
          <w:sz w:val="18"/>
        </w:rPr>
        <w:t xml:space="preserve">[2] 杭州市统计局：《2024年12月份杭州市国民经济主要统计资料》  </w:t>
      </w:r>
      <w:hyperlink r:id="rId16">
        <w:r>
          <w:rPr>
            <w:color w:val="275DAD"/>
            <w:u w:val="single"/>
            <w:rFonts w:ascii="Noto Sans CJK SC" w:hAnsi="Noto Sans CJK SC" w:eastAsia="Noto Sans CJK SC"/>
          </w:rPr>
          <w:t>访问原文</w:t>
        </w:r>
      </w:hyperlink>
    </w:p>
    <w:p>
      <w:pPr>
        <w:spacing w:after="120" w:line="312" w:lineRule="auto"/>
      </w:pPr>
      <w:r>
        <w:rPr>
          <w:rFonts w:ascii="Noto Sans CJK SC" w:hAnsi="Noto Sans CJK SC" w:eastAsia="Noto Sans CJK SC"/>
          <w:sz w:val="18"/>
        </w:rPr>
        <w:t xml:space="preserve">[3] 杭州市统计局：《2025年12月份杭州市国民经济主要统计资料》  </w:t>
      </w:r>
      <w:hyperlink r:id="rId17">
        <w:r>
          <w:rPr>
            <w:color w:val="275DAD"/>
            <w:u w:val="single"/>
            <w:rFonts w:ascii="Noto Sans CJK SC" w:hAnsi="Noto Sans CJK SC" w:eastAsia="Noto Sans CJK SC"/>
          </w:rPr>
          <w:t>访问原文</w:t>
        </w:r>
      </w:hyperlink>
    </w:p>
    <w:p>
      <w:pPr>
        <w:spacing w:after="120" w:line="312" w:lineRule="auto"/>
      </w:pPr>
      <w:r>
        <w:rPr>
          <w:rFonts w:ascii="Noto Sans CJK SC" w:hAnsi="Noto Sans CJK SC" w:eastAsia="Noto Sans CJK SC"/>
          <w:sz w:val="18"/>
        </w:rPr>
        <w:t xml:space="preserve">[4] 杭州市人民政府办公厅：《政府工作报告》（2026年1月21日在杭州市第十四届人民代表大会第六次会议上）  </w:t>
      </w:r>
      <w:hyperlink r:id="rId18">
        <w:r>
          <w:rPr>
            <w:color w:val="275DAD"/>
            <w:u w:val="single"/>
            <w:rFonts w:ascii="Noto Sans CJK SC" w:hAnsi="Noto Sans CJK SC" w:eastAsia="Noto Sans CJK SC"/>
          </w:rPr>
          <w:t>访问原文</w:t>
        </w:r>
      </w:hyperlink>
    </w:p>
    <w:p>
      <w:pPr>
        <w:spacing w:after="120" w:line="312" w:lineRule="auto"/>
      </w:pPr>
      <w:r>
        <w:rPr>
          <w:rFonts w:ascii="Noto Sans CJK SC" w:hAnsi="Noto Sans CJK SC" w:eastAsia="Noto Sans CJK SC"/>
          <w:sz w:val="18"/>
        </w:rPr>
        <w:t xml:space="preserve">[5] 杭州市财政局：《关于杭州市及市本级2024年预算执行情况和2025年预算草案的报告》  </w:t>
      </w:r>
      <w:hyperlink r:id="rId19">
        <w:r>
          <w:rPr>
            <w:color w:val="275DAD"/>
            <w:u w:val="single"/>
            <w:rFonts w:ascii="Noto Sans CJK SC" w:hAnsi="Noto Sans CJK SC" w:eastAsia="Noto Sans CJK SC"/>
          </w:rPr>
          <w:t>访问原文</w:t>
        </w:r>
      </w:hyperlink>
    </w:p>
    <w:p>
      <w:pPr>
        <w:spacing w:after="120" w:line="312" w:lineRule="auto"/>
      </w:pPr>
      <w:r>
        <w:rPr>
          <w:rFonts w:ascii="Noto Sans CJK SC" w:hAnsi="Noto Sans CJK SC" w:eastAsia="Noto Sans CJK SC"/>
          <w:sz w:val="18"/>
        </w:rPr>
        <w:t xml:space="preserve">[6] 杭州日报：《关于杭州市及市本级2025年预算执行情况和2026年预算草案的报告（摘要）》  </w:t>
      </w:r>
      <w:hyperlink r:id="rId20">
        <w:r>
          <w:rPr>
            <w:color w:val="275DAD"/>
            <w:u w:val="single"/>
            <w:rFonts w:ascii="Noto Sans CJK SC" w:hAnsi="Noto Sans CJK SC" w:eastAsia="Noto Sans CJK SC"/>
          </w:rPr>
          <w:t>访问原文</w:t>
        </w:r>
      </w:hyperlink>
    </w:p>
    <w:p>
      <w:pPr>
        <w:spacing w:after="120" w:line="312" w:lineRule="auto"/>
      </w:pPr>
      <w:r>
        <w:rPr>
          <w:rFonts w:ascii="Noto Sans CJK SC" w:hAnsi="Noto Sans CJK SC" w:eastAsia="Noto Sans CJK SC"/>
          <w:sz w:val="18"/>
        </w:rPr>
        <w:t xml:space="preserve">[7] 杭州市人民政府办公厅：《杭州市推进全球数贸港核心区建设实施方案（2025—2027年）》  </w:t>
      </w:r>
      <w:hyperlink r:id="rId21">
        <w:r>
          <w:rPr>
            <w:color w:val="275DAD"/>
            <w:u w:val="single"/>
            <w:rFonts w:ascii="Noto Sans CJK SC" w:hAnsi="Noto Sans CJK SC" w:eastAsia="Noto Sans CJK SC"/>
          </w:rPr>
          <w:t>访问原文</w:t>
        </w:r>
      </w:hyperlink>
    </w:p>
    <w:p>
      <w:pPr>
        <w:spacing w:after="120" w:line="312" w:lineRule="auto"/>
      </w:pPr>
      <w:r>
        <w:rPr>
          <w:rFonts w:ascii="Noto Sans CJK SC" w:hAnsi="Noto Sans CJK SC" w:eastAsia="Noto Sans CJK SC"/>
          <w:sz w:val="18"/>
        </w:rPr>
        <w:t xml:space="preserve">[8] 杭州市人民政府：《市十四届人大五次会议隆重开幕》  </w:t>
      </w:r>
      <w:hyperlink r:id="rId22">
        <w:r>
          <w:rPr>
            <w:color w:val="275DAD"/>
            <w:u w:val="single"/>
            <w:rFonts w:ascii="Noto Sans CJK SC" w:hAnsi="Noto Sans CJK SC" w:eastAsia="Noto Sans CJK SC"/>
          </w:rPr>
          <w:t>访问原文</w:t>
        </w:r>
      </w:hyperlink>
    </w:p>
    <w:tbl>
      <w:tblPr>
        <w:tblW w:type="auto" w:w="0"/>
        <w:jc w:val="center"/>
        <w:tblLayout w:type="fixed"/>
        <w:tblLook w:firstColumn="1" w:firstRow="1" w:lastColumn="0" w:lastRow="0" w:noHBand="0" w:noVBand="1" w:val="04A0"/>
      </w:tblPr>
      <w:tblGrid>
        <w:gridCol w:w="9241"/>
      </w:tblGrid>
      <w:tr>
        <w:trPr>
          <w:tblHeader w:val="true"/>
          <w:cantSplit/>
        </w:trPr>
        <w:tc>
          <w:tcPr>
            <w:tcW w:type="dxa" w:w="9632"/>
            <w:shd w:fill="F3F4F6"/>
            <w:tcMar>
              <w:top w:w="130" w:type="dxa"/>
              <w:start w:w="180" w:type="dxa"/>
              <w:bottom w:w="130" w:type="dxa"/>
              <w:end w:w="180" w:type="dxa"/>
            </w:tcMar>
          </w:tcPr>
          <w:p>
            <w:pPr>
              <w:spacing w:after="80"/>
            </w:pPr>
            <w:r>
              <w:rPr>
                <w:rFonts w:ascii="Noto Sans CJK SC" w:hAnsi="Noto Sans CJK SC" w:eastAsia="Noto Sans CJK SC"/>
                <w:b/>
                <w:color w:val="5C6673"/>
                <w:sz w:val="22"/>
              </w:rPr>
              <w:t>资料使用说明</w:t>
            </w:r>
          </w:p>
          <w:p>
            <w:pPr>
              <w:spacing w:line="324" w:lineRule="auto" w:after="0"/>
            </w:pPr>
            <w:r>
              <w:rPr>
                <w:rFonts w:ascii="Noto Sans CJK SC" w:hAnsi="Noto Sans CJK SC" w:eastAsia="Noto Sans CJK SC"/>
                <w:sz w:val="21"/>
              </w:rPr>
              <w:t>本文优先使用杭州市政府、公报、财政局、统计局及杭州日报公开材料。部分2025年实际结果来自2026年发布的官方复盘，因此本文属于“事后检验型研究”，不是对2025年当时信息的简单复述。所有数值应以对应官方最终发布口径为准。</w:t>
            </w:r>
          </w:p>
        </w:tc>
      </w:tr>
    </w:tbl>
    <w:sectPr w:rsidR="00FC693F" w:rsidRPr="0006063C" w:rsidSect="00034616">
      <w:headerReference w:type="default" r:id="rId9"/>
      <w:footerReference w:type="default" r:id="rId10"/>
      <w:headerReference w:type="first" r:id="rId11"/>
      <w:footerReference w:type="first" r:id="rId12"/>
      <w:pgSz w:w="12240" w:h="15840"/>
      <w:pgMar w:top="1247" w:right="1276" w:bottom="1191" w:left="133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787D84"/>
        <w:sz w:val="17"/>
      </w:rPr>
      <w:t xml:space="preserve">— </w:t>
    </w:r>
    <w:fldSimple w:instr="PAGE">
      <w:r>
        <w:t>1</w:t>
      </w:r>
    </w:fldSimple>
    <w:r>
      <w:rPr>
        <w:rFonts w:ascii="Noto Sans CJK SC" w:hAnsi="Noto Sans CJK SC" w:eastAsia="Noto Sans CJK SC"/>
        <w:color w:val="787D84"/>
        <w:sz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787D84"/>
        <w:sz w:val="17"/>
      </w:rPr>
      <w:t>杭州市2025年政府工作报告：深度研究与隐藏细节</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CJK SC" w:hAnsi="Noto Sans CJK SC" w:eastAsia="Noto Sans CJK SC"/>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CJK SC" w:hAnsi="Noto Sans CJK SC" w:eastAsia="Noto Sans CJK SC"/>
      <w:b/>
      <w:bCs/>
      <w:color w:val="275DAD"/>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CJK SC" w:hAnsi="Noto Sans CJK SC" w:eastAsia="Noto Sans CJK SC"/>
      <w:b/>
      <w:bCs/>
      <w:color w:val="3C4E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Noto Sans CJK SC" w:hAnsi="Noto Sans CJK SC" w:eastAsia="Noto Sans CJK SC"/>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Noto Sans CJK SC" w:hAnsi="Noto Sans CJK SC" w:eastAsia="Noto Sans CJK SC"/>
      <w:i/>
      <w:iCs/>
      <w:color w:val="6B728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Box">
    <w:name w:val="QuoteBox"/>
    <w:pPr>
      <w:spacing w:line="336" w:lineRule="auto" w:before="160" w:after="160"/>
    </w:pPr>
    <w:rPr>
      <w:rFonts w:ascii="Noto Serif CJK SC" w:hAnsi="Noto Serif CJK SC" w:eastAsia="Noto Serif CJK SC"/>
      <w:b/>
      <w:color w:val="17365D"/>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https://zfgb.hangzhou.gov.cn/148/106220253/t124220253064/529295.shtml" TargetMode="External"/><Relationship Id="rId16" Type="http://schemas.openxmlformats.org/officeDocument/2006/relationships/hyperlink" Target="https://zfgb.hangzhou.gov.cn/136/105220253/t125220253054/520085.shtml" TargetMode="External"/><Relationship Id="rId17" Type="http://schemas.openxmlformats.org/officeDocument/2006/relationships/hyperlink" Target="https://zfgb.hangzhou.gov.cn/136/101220263/t123220263014/530174.shtml" TargetMode="External"/><Relationship Id="rId18" Type="http://schemas.openxmlformats.org/officeDocument/2006/relationships/hyperlink" Target="https://zfgb.hangzhou.gov.cn/148/102220263/t103220263024/530188.shtml" TargetMode="External"/><Relationship Id="rId19" Type="http://schemas.openxmlformats.org/officeDocument/2006/relationships/hyperlink" Target="https://zjjcmspublic.oss-cn-hangzhou-zwynet-d01-a.internet.cloud.zj.gov.cn/jcms_files/jcms1/web149/site/attach/0/22d597e448ef42f3912db9c80b730f3c.pdf" TargetMode="External"/><Relationship Id="rId20" Type="http://schemas.openxmlformats.org/officeDocument/2006/relationships/hyperlink" Target="https://mdaily.hangzhou.com.cn/hzrb/2026/02/05/article_detail_1_20260205A033.html" TargetMode="External"/><Relationship Id="rId21" Type="http://schemas.openxmlformats.org/officeDocument/2006/relationships/hyperlink" Target="https://zfgb.hangzhou.gov.cn/10/106220253/t123220253064/529260.shtml" TargetMode="External"/><Relationship Id="rId22" Type="http://schemas.openxmlformats.org/officeDocument/2006/relationships/hyperlink" Target="https://www.hangzhou.gov.cn/art/2025/5/23/art_1229878892_5911310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杭州市2025年政府工作报告：深度研究与容易被忽视的结构性细节</dc:title>
  <dc:subject>杭州产业、财政、投资、AI、房地产、民营经济与人口结构分析</dc:subject>
  <dc:creator/>
  <cp:keywords>杭州, 政府工作报告, 2025, 产业政策, AI, 财政, 土地财政, 投资</cp:keywords>
  <dc:description>generated by python-docx</dc:description>
  <cp:lastModifiedBy/>
  <cp:revision>1</cp:revision>
  <dcterms:created xsi:type="dcterms:W3CDTF">2013-12-23T23:15:00Z</dcterms:created>
  <dcterms:modified xsi:type="dcterms:W3CDTF">2013-12-23T23:15:00Z</dcterms:modified>
  <cp:category/>
</cp:coreProperties>
</file>