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1200"/>
        <w:jc w:val="center"/>
      </w:pPr>
      <w:r>
        <w:rPr>
          <w:rFonts w:ascii="微软雅黑" w:hAnsi="微软雅黑" w:eastAsia="微软雅黑"/>
          <w:b/>
          <w:color w:val="1F2A44"/>
          <w:sz w:val="48"/>
        </w:rPr>
        <w:t>重庆市2025年政府工作报告</w:t>
      </w:r>
    </w:p>
    <w:p>
      <w:pPr>
        <w:spacing w:after="200" w:before="0"/>
        <w:jc w:val="center"/>
      </w:pPr>
      <w:r>
        <w:rPr>
          <w:rFonts w:ascii="微软雅黑" w:hAnsi="微软雅黑" w:eastAsia="微软雅黑"/>
          <w:b/>
          <w:color w:val="B01E2E"/>
          <w:sz w:val="32"/>
        </w:rPr>
        <w:t>深度研究与“容易被忽视的细节”分析</w:t>
      </w:r>
    </w:p>
    <w:p>
      <w:pPr>
        <w:spacing w:after="400" w:before="0"/>
        <w:jc w:val="center"/>
      </w:pPr>
      <w:r>
        <w:rPr>
          <w:rFonts w:ascii="微软雅黑" w:hAnsi="微软雅黑" w:eastAsia="微软雅黑"/>
          <w:b w:val="0"/>
          <w:color w:val="596069"/>
          <w:sz w:val="24"/>
        </w:rPr>
        <w:t>从新能源汽车、成渝双城、西部陆海新通道、内陆开放与“大都市带大农村”等暗线重新理解重庆</w:t>
      </w:r>
    </w:p>
    <w:p>
      <w:pPr>
        <w:spacing w:after="480" w:before="0"/>
        <w:jc w:val="center"/>
      </w:pPr>
      <w:r>
        <w:rPr>
          <w:rFonts w:ascii="微软雅黑" w:hAnsi="微软雅黑" w:eastAsia="微软雅黑"/>
          <w:b w:val="0"/>
          <w:color w:val="B01E2E"/>
          <w:sz w:val="22"/>
        </w:rPr>
        <w:t>━━━━━━━━━━━━━━━━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研究对象：2025年重庆市政府工作报告及同期财政、国民经济和社会发展统计资料、2026年官方复盘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整理时间：2026年8月</w:t>
      </w:r>
    </w:p>
    <w:p>
      <w:pPr>
        <w:spacing w:after="120" w:before="0"/>
        <w:jc w:val="center"/>
      </w:pPr>
      <w:r>
        <w:rPr>
          <w:rFonts w:ascii="微软雅黑" w:hAnsi="微软雅黑" w:eastAsia="微软雅黑"/>
          <w:b/>
          <w:color w:val="1F2A44"/>
          <w:sz w:val="22"/>
        </w:rPr>
        <w:t>分析性质：分析性研究 ｜ 非官方解读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微软雅黑" w:hAnsi="微软雅黑" w:eastAsia="微软雅黑"/>
          <w:b/>
          <w:color w:val="1F2A44"/>
          <w:sz w:val="32"/>
        </w:rPr>
        <w:t>目　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执行摘要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一、研究口径与阅读方法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二、先看重庆的特殊底盘：一座很不一样的直辖市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三、最关键的宏观错位：GDP破3.37万亿、开放向强，但“房地产与消费”在收缩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四、容易被忽视、但信号很重的细节（14条）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五、把所有细节连起来：重庆正在经历的“六个换挡”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六、增长暗线：“新能源汽车之都”与内陆开放枢纽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七、财政暗线：收入稳，但“税收结构”是下一个课题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八、产业暗线：从“摩托车/笔电”到“智能网联新能源汽车”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九、成渝双城与区域格局：主城、渝东北、渝东南的三级底盘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十、人口与城市：超大城市带大农村、老龄化加深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十一、民营经济与科创：重庆的重要“新动能”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十二、事后验证：用2025年实际执行结果检验报告判断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十三、未来5—10年最值得观察的五条主线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十四、最终结论：重庆在“西部大开发+超大规模城市”里的增长逻辑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附录A：主要资料来源与核验路径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附录B：建议建立的年度跟踪仪表盘</w:t>
      </w:r>
    </w:p>
    <w:p>
      <w:r>
        <w:br w:type="page"/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执行摘要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核心判断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如果只看新闻标题，2025年重庆最显眼的是“GDP突破3.37万亿、成为中西部首个经济总量超3万亿元的城市”、“新能源汽车产量首次突破130万辆、增长36%”和“西部陆海新通道通达全球584个港口”。但政府工作报告真正值得深读的，是这一座“山区超大城市+老工业基地+内陆门户”如何在固定投资偏冷、房地产收缩、人口老龄化的背景下，靠“新能源汽车之都+内陆开放枢纽+成渝双城联动”三条主线重建增长函数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把2025年初《政府工作报告》设定的目标、2025年《国民经济和社会发展统计公报》、以及2026年报告对2025年的复盘放在一起看，重庆呈现一条清晰暗线：</w:t>
      </w:r>
      <w:r>
        <w:rPr>
          <w:rFonts w:ascii="微软雅黑" w:hAnsi="微软雅黑" w:eastAsia="微软雅黑"/>
          <w:b/>
          <w:color w:val="1F2A44"/>
          <w:sz w:val="22"/>
        </w:rPr>
        <w:t>从“基建—房产—传统制造”的旧闭环，切换到“新能源汽车+先进制造+内陆开放+民营活力+成渝协同”的新组合</w:t>
      </w:r>
      <w:r>
        <w:rPr>
          <w:rFonts w:ascii="微软雅黑" w:hAnsi="微软雅黑" w:eastAsia="微软雅黑"/>
          <w:b w:val="0"/>
          <w:color w:val="1F2A44"/>
          <w:sz w:val="22"/>
        </w:rPr>
        <w:t>。旧引擎（房地产、电子代工、一般基建）在收缩；新引擎（新能源汽车、装备、材料、开放贸易、民营）被要求更快补位。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因此，本报告不按政府工作报告章节逐段复述，而采用“显性表述—同期数据—制度含义—长期影响”的方式，专门提取容易被忽视、但对判断重庆未来5—10年发展模式更有价值的信号。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最容易记住的一句话：</w:t>
      </w:r>
      <w:r>
        <w:rPr>
          <w:rFonts w:ascii="微软雅黑" w:hAnsi="微软雅黑" w:eastAsia="微软雅黑"/>
          <w:b/>
          <w:color w:val="1F2A44"/>
          <w:sz w:val="22"/>
        </w:rPr>
        <w:t>重庆是全国最典型的“超大直辖市+大农村”经济体——它既要回答“怎样把汽车做成真正的新质生产力”，也要回答“怎么在人口老龄化、投资偏冷的内陆背景下向内陆开放要增长”。</w:t>
      </w:r>
      <w:r>
        <w:rPr>
          <w:rFonts w:ascii="微软雅黑" w:hAnsi="微软雅黑" w:eastAsia="微软雅黑"/>
          <w:b w:val="0"/>
          <w:color w:val="1F2A44"/>
          <w:sz w:val="22"/>
        </w:rPr>
        <w:t>观察重庆，与其看“想做什么”，不如看“在西部开发与双城共进的战略里，怎么把汽车、开放与民营排进先后”。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一页速览：2025年重庆经济的“表与里”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247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294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表面现象</w:t>
            </w:r>
          </w:p>
        </w:tc>
        <w:tc>
          <w:tcPr>
            <w:tcW w:type="dxa" w:w="4876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更深层信号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GDP3.37万亿、+5.3%，中西部首个破3万亿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总量体量全国前列，但由汽车+开放+三产驱动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产业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规上工业+5.9%、新能源汽车产量+36%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汽车产业+12.6%、摩托车+18.4%、电子代工偏弱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投资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固定资产投资-0.7%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工业投资+8.5%、汽车产业投资+23.6%；房地产-14.7%拖累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出口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进出口+12.0%、出口+10.2%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汽车出口+23%、对“一带一路”+12.1%、逆势增长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财政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一般公共预算收入+5.4%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税收仅+2.3%、增长偏结构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民营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民营经济占61.6%、+5.4%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民企占比全国前列，是重要“新动能”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常住3187万、城镇化率73.02%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60岁+占26.2%、自然增率-4.61‰成重压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区城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主城都市区+5.5%、渝东北+4.4%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核心更热、边缘承压，超大市“城乡落差”</w:t>
            </w:r>
          </w:p>
        </w:tc>
      </w:tr>
    </w:tbl>
    <w:p>
      <w:pPr>
        <w:spacing w:after="40" w:before="0"/>
      </w:pP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一、研究口径与阅读方法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1.1 本报告的三份核心底稿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2025年《政府工作报告》</w:t>
      </w:r>
      <w:r>
        <w:rPr>
          <w:rFonts w:ascii="微软雅黑" w:hAnsi="微软雅黑" w:eastAsia="微软雅黑"/>
          <w:b w:val="0"/>
          <w:color w:val="1F2A44"/>
          <w:sz w:val="21"/>
        </w:rPr>
        <w:t>：2025年1月在市人代会上作，给出全年预期目标（GDP增长6%左右、固定资产投资增长5%、社会消费品零售增长6%、进出口正增长、一般公共预算收入增长4.5%、居民人均可支配收入增长6%左右）。它是“想做什么”的起点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2025年《国民经济和社会发展统计公报》</w:t>
      </w:r>
      <w:r>
        <w:rPr>
          <w:rFonts w:ascii="微软雅黑" w:hAnsi="微软雅黑" w:eastAsia="微软雅黑"/>
          <w:b w:val="0"/>
          <w:color w:val="1F2A44"/>
          <w:sz w:val="21"/>
        </w:rPr>
        <w:t>：重庆市政府于2026年3月26日发布，是整个“事后验证”部分的真正锚点，给出全年实际执行数与增速。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2026年市政府工作报告及官方复盘材料</w:t>
      </w:r>
      <w:r>
        <w:rPr>
          <w:rFonts w:ascii="微软雅黑" w:hAnsi="微软雅黑" w:eastAsia="微软雅黑"/>
          <w:b w:val="0"/>
          <w:color w:val="1F2A44"/>
          <w:sz w:val="21"/>
        </w:rPr>
        <w:t>：对2025年执行结果的追认，交叉验证“目标—执行—再评价”三段式。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1.2 阅读方法：显性—数据—制度—长期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每一章按“</w:t>
      </w:r>
      <w:r>
        <w:rPr>
          <w:rFonts w:ascii="微软雅黑" w:hAnsi="微软雅黑" w:eastAsia="微软雅黑"/>
          <w:b/>
          <w:color w:val="1F2A44"/>
          <w:sz w:val="22"/>
        </w:rPr>
        <w:t>显性表述 → 同期数据 → 制度含义 → 长期影响</w:t>
      </w:r>
      <w:r>
        <w:rPr>
          <w:rFonts w:ascii="微软雅黑" w:hAnsi="微软雅黑" w:eastAsia="微软雅黑"/>
          <w:b w:val="0"/>
          <w:color w:val="1F2A44"/>
          <w:sz w:val="22"/>
        </w:rPr>
        <w:t>”四层展开。其中“制度含义”回答“政府为什么这么排优先序”，“长期影响”回答“这对未来5—10年意味着什么”。这种读法，比逐段复述更能捕捉重庆真正在切换的增长模式。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关键判别：</w:t>
      </w:r>
      <w:r>
        <w:rPr>
          <w:rFonts w:ascii="微软雅黑" w:hAnsi="微软雅黑" w:eastAsia="微软雅黑"/>
          <w:b/>
          <w:color w:val="1F2A44"/>
          <w:sz w:val="22"/>
        </w:rPr>
        <w:t>当报告使用的“增长词”和统计公报里的实际数不一致时，数据优先。</w:t>
      </w:r>
      <w:r>
        <w:rPr>
          <w:rFonts w:ascii="微软雅黑" w:hAnsi="微软雅黑" w:eastAsia="微软雅黑"/>
          <w:b w:val="0"/>
          <w:color w:val="1F2A44"/>
          <w:sz w:val="22"/>
        </w:rPr>
        <w:t>例如2025年初目标定“GDP增长6%左右”，实际执行5.3%；固定资产投资目标“增长5%”，实际-0.7%。差异不是失败，而是“对外承诺偏乐观、对内执行偏守住底线”的典型路径，是读懂政府心态的关键。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二、先看重庆的特殊底盘：一座很不一样的直辖市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在所有省级行政区里，重庆的“底盘”最特别：它是</w:t>
      </w:r>
      <w:r>
        <w:rPr>
          <w:rFonts w:ascii="微软雅黑" w:hAnsi="微软雅黑" w:eastAsia="微软雅黑"/>
          <w:b/>
          <w:color w:val="1F2A44"/>
          <w:sz w:val="22"/>
        </w:rPr>
        <w:t>全国唯一“超大直辖市+大农村”并存</w:t>
      </w:r>
      <w:r>
        <w:rPr>
          <w:rFonts w:ascii="微软雅黑" w:hAnsi="微软雅黑" w:eastAsia="微软雅黑"/>
          <w:b w:val="0"/>
          <w:color w:val="1F2A44"/>
          <w:sz w:val="22"/>
        </w:rPr>
        <w:t>的经济体——既是一个拥有3187万常住人口、城镇化率73.02%的超大城市，又是一个面积达8.2万平方公里（接近一个中等省份）、下辖38个区县的行政单元。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这个底盘决定了重庆的三重身份同时存在：</w:t>
      </w:r>
      <w:r>
        <w:rPr>
          <w:rFonts w:ascii="微软雅黑" w:hAnsi="微软雅黑" w:eastAsia="微软雅黑"/>
          <w:b/>
          <w:color w:val="1F2A44"/>
          <w:sz w:val="22"/>
        </w:rPr>
        <w:t>老工业基地</w:t>
      </w:r>
      <w:r>
        <w:rPr>
          <w:rFonts w:ascii="微软雅黑" w:hAnsi="微软雅黑" w:eastAsia="微软雅黑"/>
          <w:b w:val="0"/>
          <w:color w:val="1F2A44"/>
          <w:sz w:val="22"/>
        </w:rPr>
        <w:t>（汽车、摩托车、军工、装备）、</w:t>
      </w:r>
      <w:r>
        <w:rPr>
          <w:rFonts w:ascii="微软雅黑" w:hAnsi="微软雅黑" w:eastAsia="微软雅黑"/>
          <w:b/>
          <w:color w:val="1F2A44"/>
          <w:sz w:val="22"/>
        </w:rPr>
        <w:t>内陆开放门户</w:t>
      </w:r>
      <w:r>
        <w:rPr>
          <w:rFonts w:ascii="微软雅黑" w:hAnsi="微软雅黑" w:eastAsia="微软雅黑"/>
          <w:b w:val="0"/>
          <w:color w:val="1F2A44"/>
          <w:sz w:val="22"/>
        </w:rPr>
        <w:t>（西部陆海新通道、铁公水空多式联运、中欧班列）、</w:t>
      </w:r>
      <w:r>
        <w:rPr>
          <w:rFonts w:ascii="微软雅黑" w:hAnsi="微软雅黑" w:eastAsia="微软雅黑"/>
          <w:b/>
          <w:color w:val="1F2A44"/>
          <w:sz w:val="22"/>
        </w:rPr>
        <w:t>超大城郊一体消费市场</w:t>
      </w:r>
      <w:r>
        <w:rPr>
          <w:rFonts w:ascii="微软雅黑" w:hAnsi="微软雅黑" w:eastAsia="微软雅黑"/>
          <w:b w:val="0"/>
          <w:color w:val="1F2A44"/>
          <w:sz w:val="22"/>
        </w:rPr>
        <w:t>（1600多万农村人口、庞大的县域消费）。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2.1 汽车为骨：老工业基地的底气与包袱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2025年，重庆规上工业企业中</w:t>
      </w:r>
      <w:r>
        <w:rPr>
          <w:rFonts w:ascii="微软雅黑" w:hAnsi="微软雅黑" w:eastAsia="微软雅黑"/>
          <w:b/>
          <w:color w:val="1F2A44"/>
          <w:sz w:val="22"/>
        </w:rPr>
        <w:t>汽车产业实现工业总产值6404.97亿元，“十四五”期间年均增长13.5%，产值占全部规上工业的比重约四分之一</w:t>
      </w:r>
      <w:r>
        <w:rPr>
          <w:rFonts w:ascii="微软雅黑" w:hAnsi="微软雅黑" w:eastAsia="微软雅黑"/>
          <w:b w:val="0"/>
          <w:color w:val="1F2A44"/>
          <w:sz w:val="22"/>
        </w:rPr>
        <w:t>。汽车是重庆工业的“压舱石”，也是本轮切换的最大变量——一旦新能源转型成功就是新质生产力，一旦失速则拖累全局。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2.2 内陆却不内陆：西部开放枢纽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重庆地处西部、不属于沿海，但凭借西部陆海新通道（铁海联运、南向出海）、中欧班列（渝新欧）和长江黄金水道，构建了“一次报关、一票直达、全程监管”的多式联运体系。2025年对“一带一路”共建国家进出口3697.26亿元，占全市进出口的46%以上——重庆的外贸底色是“内陆开放”而非“沿海代工”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2.3 超大与大省的张力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主城都市区2025年GDP26501.24亿元、+5.5%，渝东北三峡库区5150.35亿元、+4.4%，渝东南武陵山区2106.38亿元、+4.3%。核心区热度更高、边缘区仍在承压——这就是“超大省会+大省”格局下最鲜明的城乡落差图。数字上看，重庆不是一个“均匀直辖市”，而是一个“一主两翼”的不平衡经济体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三、最关键的宏观错位：GDP破3.37万亿、开放向强，但“房地产”与“消费”在收缩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如果把2025年重庆的宏观面放在一张表里看，会出现令外行惊讶的“错位”：表观增长来自汽车与开放，而支撑传统增长模式的房地产和零售消费数据却在收缩。这个错位，正是读懂重庆的关键。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3.1 “总量很亮”的一面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81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94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2025实绩</w:t>
            </w:r>
          </w:p>
        </w:tc>
        <w:tc>
          <w:tcPr>
            <w:tcW w:type="dxa" w:w="3742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信号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33757.93亿元、+5.3%</w:t>
            </w:r>
          </w:p>
        </w:tc>
        <w:tc>
          <w:tcPr>
            <w:tcW w:type="dxa" w:w="374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中西部首个破3万亿大城市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+5.9%</w:t>
            </w:r>
          </w:p>
        </w:tc>
        <w:tc>
          <w:tcPr>
            <w:tcW w:type="dxa" w:w="374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制造业+7.0%，采矿业-5.9%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汽车产业增加值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+12.6%</w:t>
            </w:r>
          </w:p>
        </w:tc>
        <w:tc>
          <w:tcPr>
            <w:tcW w:type="dxa" w:w="374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新能源汽车产量+36%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+12.0%（出口+10.2%）</w:t>
            </w:r>
          </w:p>
        </w:tc>
        <w:tc>
          <w:tcPr>
            <w:tcW w:type="dxa" w:w="374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对一带一路+12.1%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+5.4%</w:t>
            </w:r>
          </w:p>
        </w:tc>
        <w:tc>
          <w:tcPr>
            <w:tcW w:type="dxa" w:w="374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税收仅+2.3%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居民人均可支配收入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41580元、+4.7%</w:t>
            </w:r>
          </w:p>
        </w:tc>
        <w:tc>
          <w:tcPr>
            <w:tcW w:type="dxa" w:w="374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农村+5.5%快于城镇+4.2%</w:t>
            </w:r>
          </w:p>
        </w:tc>
      </w:tr>
    </w:tbl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3.2 “旧引擎在收缩”的一面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81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94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2025实值</w:t>
            </w:r>
          </w:p>
        </w:tc>
        <w:tc>
          <w:tcPr>
            <w:tcW w:type="dxa" w:w="3742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信号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-0.7%</w:t>
            </w:r>
          </w:p>
        </w:tc>
        <w:tc>
          <w:tcPr>
            <w:tcW w:type="dxa" w:w="374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工业+8.5%、三产-4.8%分化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房地产开发投资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-14.7%</w:t>
            </w:r>
          </w:p>
        </w:tc>
        <w:tc>
          <w:tcPr>
            <w:tcW w:type="dxa" w:w="374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房地产对经济的拉动转负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社会消费品零售总额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+3.1%</w:t>
            </w:r>
          </w:p>
        </w:tc>
        <w:tc>
          <w:tcPr>
            <w:tcW w:type="dxa" w:w="374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内需仍偏软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规上工业利润总额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-3.7%</w:t>
            </w:r>
          </w:p>
        </w:tc>
        <w:tc>
          <w:tcPr>
            <w:tcW w:type="dxa" w:w="374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量增价跌、产能利用率76.7%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PPI（出厂价）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-1.6%</w:t>
            </w:r>
          </w:p>
        </w:tc>
        <w:tc>
          <w:tcPr>
            <w:tcW w:type="dxa" w:w="374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工业品通缩压力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新建住宅价格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-3.5%；二手-4.7%</w:t>
            </w:r>
          </w:p>
        </w:tc>
        <w:tc>
          <w:tcPr>
            <w:tcW w:type="dxa" w:w="374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楼市预期仍弱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人口自然增长率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-4.61‰</w:t>
            </w:r>
          </w:p>
        </w:tc>
        <w:tc>
          <w:tcPr>
            <w:tcW w:type="dxa" w:w="374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超低生育、老龄化加深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错位结论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重庆的增长“很强、但很偏”。强的部分集中在汽车/装备/材料等制造业和开放贸易；弱的部分集中在房地产、消费和部分电子代工。2026年政府工作报告里反复出现“稳增长、促消费、扩内需”，本质上就是在补这块“旧引擎”的缺口，同时保住“新引擎”的势头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四、容易被忽视、但信号很重的细节（14条）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汽车总产值6404.97亿、约占规上工业四分之一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2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新能源汽车产量129.61万辆、+36%（汽车总产量278.77万辆、+9.7%）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3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装备产业+8.5%、工业投资中装备增速最高（+25.9%）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4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摩托车产业+18.4%、摩托车投资+14.6%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5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电子产业增加值仅+0.6%、投资-1.2%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6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材料+7.6%、能源工业-1.6%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7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进出口8006.78亿元、+12.0%，对‘一带一路’+12.1%、民企+18.9%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8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汽车出口+23%、出口结构里汽车是高成长单品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9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税收+2.3%、预算收入+5.4%、支出+1.2%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10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民营经济增加值20792亿、占61.6%、+5.2%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11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常住3187万人、城镇化率73.02%、自然增-4.61‰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12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60岁及以上占26.20%（835万人）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13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居民收入比约2.21:1（城乡51854/农村23448）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14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2025年初定GDP增长“6%左右”，实际执行5.3%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五、把所有细节连起来：重庆正在经历的“六个换挡”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把上面14条串起来，重庆正在经历六个清楚的“换挡”，每个换挡都是“旧引擎减速、新引擎加力”的镜像。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1．产业换挡：从“电子代工+房地产”到“新能源汽车+装备+材料”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电子从+9%滑向+0.6%，汽车/装备/材料成为增长主料。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2．开放换挡：从“沿海代转”到“内陆陆海新通道”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对‘一带一路’46%出口、民营18.9%拉动，开放不再依赖沿海码头。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3．投资换挡：从“地上基建”到“制造业设备+汽车”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工业投资+8.5%、汽车投资+23.6%对冲房地产-14.7%。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4．消费换挡：从“楼市预期”到“民生消费”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社会消费品零售偏软（+3.1%），农村收入+6.5%快于城镇，消费重心下沉。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5．人口换挡：从“人口净流入红利”到“超老龄化管理”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自然增-4.61‰、60岁+26.24%，城市治理转向“如何看护养老人口”。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6．动力换挡：从“政策/基建驱动”到“民营+科创驱动”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民营经济占61.6%，2024年起重提“民营科创、数字化转型”。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六、增长暗线：“新能源汽车之都”与内陆开放枢纽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6.1 新能源汽车：喻为“利算一条线”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重庆新能源汽车产量首次突破129万辆、增长36%，是“增长暗线”里最亮的一条。它不是一夕之间起来的，而是多年的布局：“汽车之都→新能源汽车之都”的切换，涉及整车（长安、深蓝、AITO）、电池（宁德重庆基地）、电子电气等全链条，加上“智能网联新能源汽车产业集群”被列为重庆新质生产力的核心基础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6.2 内陆开放：陆海新通道+中欧班列+长江航运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重庆的开放不是“沿海代工”，而是</w:t>
      </w:r>
      <w:r>
        <w:rPr>
          <w:rFonts w:ascii="微软雅黑" w:hAnsi="微软雅黑" w:eastAsia="微软雅黑"/>
          <w:b/>
          <w:color w:val="1F2A44"/>
          <w:sz w:val="22"/>
        </w:rPr>
        <w:t>“一次报关、铁海联运、南向出海的陆海新通道”</w:t>
      </w:r>
      <w:r>
        <w:rPr>
          <w:rFonts w:ascii="微软雅黑" w:hAnsi="微软雅黑" w:eastAsia="微软雅黑"/>
          <w:b w:val="0"/>
          <w:color w:val="1F2A44"/>
          <w:sz w:val="22"/>
        </w:rPr>
        <w:t>。2025年货物进出口8006.78亿元、+12.0%，其中对‘一带一路’国家+12.1%、民企+18.9%。汽车出口+23%更说明：重庆正在把“内陆”变成“开放枢纽”。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这条暗线意味着</w:t>
      </w:r>
      <w:r>
        <w:rPr>
          <w:rFonts w:ascii="微软雅黑" w:hAnsi="微软雅黑" w:eastAsia="微软雅黑"/>
          <w:b w:val="0"/>
          <w:color w:val="1F2A44"/>
          <w:sz w:val="22"/>
        </w:rPr>
        <w:t>：未来重庆的淘汰赛不只看“GDP”，更要看汽车出海能否持续、通道经济能否把“内陆成本”转化为“内陆效率”。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七、财政暗线：收入稳，但“税收结构”是下一个课题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2025年重庆一般公共预算收入2735.8亿元、+5.4%，增速不低。但拆开看：</w:t>
      </w:r>
      <w:r>
        <w:rPr>
          <w:rFonts w:ascii="微软雅黑" w:hAnsi="微软雅黑" w:eastAsia="微软雅黑"/>
          <w:b/>
          <w:color w:val="1F2A44"/>
          <w:sz w:val="22"/>
        </w:rPr>
        <w:t>税收收入1555.8亿元仅+2.3%，其余均为非税收入贡献</w:t>
      </w:r>
      <w:r>
        <w:rPr>
          <w:rFonts w:ascii="微软雅黑" w:hAnsi="微软雅黑" w:eastAsia="微软雅黑"/>
          <w:b w:val="0"/>
          <w:color w:val="1F2A44"/>
          <w:sz w:val="22"/>
        </w:rPr>
        <w:t>。这说明“预算收得稳、税收收得慢”，非税（如盘活资产、土地出让前端）在补位。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同时一般公共预算支出5690.6亿元、+1.2%，支出增速远低于收入增速，反映“钱必须花在刀刃上”的财政纪律。支出占交易、教育、社保等刚性强，可用于新兴产业撬动的灵活空间有限。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制度含义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重庆财政还处于“收入端靠非税、支出端靠紧缩”阶段。长期看，需要把收入的“非税依赖”降到更低，把税收质量（尤其制造业、科创企业税）做起来，才能支撑“新能源汽车+开放”持续发力的资本开支。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八、产业暗线：从“摩托车/笔电”到“智能网联新能源汽车”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8.1 重庆的制造业底色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7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产业</w:t>
            </w:r>
          </w:p>
        </w:tc>
        <w:tc>
          <w:tcPr>
            <w:tcW w:type="dxa" w:w="136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2025增加值增速</w:t>
            </w:r>
          </w:p>
        </w:tc>
        <w:tc>
          <w:tcPr>
            <w:tcW w:type="dxa" w:w="1247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投资增速</w:t>
            </w:r>
          </w:p>
        </w:tc>
        <w:tc>
          <w:tcPr>
            <w:tcW w:type="dxa" w:w="3402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解读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汽车产业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+12.6%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+23.6%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最大发动机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摩托车产业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+18.4%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+14.6%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老牌逆势强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电子产业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+0.7%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-1.2%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代工红利衰减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装备产业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+8.5%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+25.9%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第二曲线加速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材料产业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+7.6%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-2.4%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供需偏稳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医药产业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-3.0%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-11.2%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压力较大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能源工业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-1.6%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+21.2%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投资加码、产出暂稳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消费品产业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+3.8%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-2.4%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内需偏软</w:t>
            </w:r>
          </w:p>
        </w:tc>
      </w:tr>
    </w:tbl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8.2 从“摩托车/笔电”到“智能网联新能源汽车”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重庆历史上是“摩托车之都+笔电代工基地”。2025年的增产结构却印证了换挡方向：</w:t>
      </w:r>
      <w:r>
        <w:rPr>
          <w:rFonts w:ascii="微软雅黑" w:hAnsi="微软雅黑" w:eastAsia="微软雅黑"/>
          <w:b/>
          <w:color w:val="1F2A44"/>
          <w:sz w:val="22"/>
        </w:rPr>
        <w:t>汽车成为第一大引擎，智能网联新能源汽车是增量核心</w:t>
      </w:r>
      <w:r>
        <w:rPr>
          <w:rFonts w:ascii="微软雅黑" w:hAnsi="微软雅黑" w:eastAsia="微软雅黑"/>
          <w:b w:val="0"/>
          <w:color w:val="1F2A44"/>
          <w:sz w:val="22"/>
        </w:rPr>
        <w:t>。制造商+开放+新能源构成新的“三驾马车”，而“笔电电子”正在退出主引擎集中。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长期影响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重庆正把“重庆制造”重定义成“汽车+装备+材料+新能源”的组合。能否把“汽车之都”升级为“汽车出海之都+智能网联集群”，决定未来十年重庆在西部乃至全国版图中的位置。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九、成渝双城与区域格局：主城、渝东北、渝东南的三级底盘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9.1 成渝双城经济圈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成渝地区双城经济圈是重庆发展的最大战略变量之一，核心是“两个万亿级组团”协同——成都要做“西部金融中心”，重庆要做“国家重要先进制造业中心”。重庆的汽车/装备/材料与成都的电子信息/航天协同，形成“成渝双引擎”的区域动力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9.2 重庆内部的三极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区域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2025GDP（亿元）</w:t>
            </w:r>
          </w:p>
        </w:tc>
        <w:tc>
          <w:tcPr>
            <w:tcW w:type="dxa" w:w="113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增速</w:t>
            </w:r>
          </w:p>
        </w:tc>
        <w:tc>
          <w:tcPr>
            <w:tcW w:type="dxa" w:w="2835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定位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主城都市区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26501.5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+5.5%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核心引擎、汽车+金融+总部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渝东北三峡库区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5150.35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+4.4%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生态屏障+库区开发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渝东南武陵山区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2106.38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+4.3%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民族地区、生态文旅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主城都市区占全市GDP近80%，是绝对主力；渝东北/渝东南体量小、增速也略低，但承担生态、民生、文旅功能。</w:t>
      </w:r>
      <w:r>
        <w:rPr>
          <w:rFonts w:ascii="微软雅黑" w:hAnsi="微软雅黑" w:eastAsia="微软雅黑"/>
          <w:b/>
          <w:color w:val="1F2A44"/>
          <w:sz w:val="22"/>
        </w:rPr>
        <w:t>“一主两翼”的内部平衡</w:t>
      </w:r>
      <w:r>
        <w:rPr>
          <w:rFonts w:ascii="微软雅黑" w:hAnsi="微软雅黑" w:eastAsia="微软雅黑"/>
          <w:b w:val="0"/>
          <w:color w:val="1F2A44"/>
          <w:sz w:val="22"/>
        </w:rPr>
        <w:t>，是重庆“超大直辖市”治理的核心议题。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十、人口与城市：超大城市带大农村、老龄化加深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10.1 人口总量与结构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2025年重庆常住人口3187.26万，城镇化率73.02%（+0.88pct）。但</w:t>
      </w:r>
      <w:r>
        <w:rPr>
          <w:rFonts w:ascii="微软雅黑" w:hAnsi="微软雅黑" w:eastAsia="微软雅黑"/>
          <w:b/>
          <w:color w:val="1F2A44"/>
          <w:sz w:val="22"/>
        </w:rPr>
        <w:t>人口自然增长率降至-4.61‰（出生率4.64‰、死亡率9.25‰）</w:t>
      </w:r>
      <w:r>
        <w:rPr>
          <w:rFonts w:ascii="微软雅黑" w:hAnsi="微软雅黑" w:eastAsia="微软雅黑"/>
          <w:b w:val="0"/>
          <w:color w:val="1F2A44"/>
          <w:sz w:val="22"/>
        </w:rPr>
        <w:t>，60岁及以上占26.26%——这是一个“大都市化+超老龄化”并存的城市。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10.2 城乡结构与放开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主城都市区集中大部分人口和产值；大农村（渝东北、渝东南）农业人口占比高、城乡收入比约2.21:1。重庆要把超大城市治理与“城乡融合”结合，才能逆转“都市热、外围冷、人口老化”三重压力。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十一、民营经济与科创：重庆的重要“新动能”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11.1 民营经济：占比61.6%、增加值+5.4%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2025年重庆民营经济增加值20792亿元、占全市GDP的61.6%、增长5.4%。</w:t>
      </w:r>
      <w:r>
        <w:rPr>
          <w:rFonts w:ascii="微软雅黑" w:hAnsi="微软雅黑" w:eastAsia="微软雅黑"/>
          <w:b/>
          <w:color w:val="1F2A44"/>
          <w:sz w:val="22"/>
        </w:rPr>
        <w:t>在国企军工背景深厚的城市，民营经济占比能超60%并不常见</w:t>
      </w:r>
      <w:r>
        <w:rPr>
          <w:rFonts w:ascii="微软雅黑" w:hAnsi="微软雅黑" w:eastAsia="微软雅黑"/>
          <w:b w:val="0"/>
          <w:color w:val="1F2A44"/>
          <w:sz w:val="22"/>
        </w:rPr>
        <w:t>，说明“民营之市”的市场化含量在提升，是支撑“新动能”的重要力量。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11.2 民营进出口+19.2%、为外贸增量的主力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2025年重庆民营企业进出口增幅显著高于全市平均，成为车辆、消费电子等出海的增量推手。民营是重庆“内陆开放”真正落到企业端的承接者。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11.3 科创方向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以“新能源汽车+智能网联+先进装备”为对象，重庆正把财政科研投入与产业线索结合，产学研围绕汽车补能、电池、智能驾驶延伸。能否把“重庆制造”升级为“重庆智造”，取决于科创密度能否跟上产业规模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十二、事后验证：用2025年实际执行结果检验报告判断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12.1 年初目标与年末执行对比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04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92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2025年初目标</w:t>
            </w:r>
          </w:p>
        </w:tc>
        <w:tc>
          <w:tcPr>
            <w:tcW w:type="dxa" w:w="192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2025实际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偏差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GDP增速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6%左右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5.3%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低0.7pct、守底线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增长5%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-0.7%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大幅低于目标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社会消费品零售总额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6%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3.1%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低于目标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规上工业增加值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—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+5.9%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不错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4.5%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+5.4%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超额完成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居民人均可支配收入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6%左右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+4.7%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低于目标</w:t>
            </w:r>
          </w:p>
        </w:tc>
      </w:tr>
    </w:tbl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12.2 判断验证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三条核心判断全部得到事后数据支持：</w:t>
      </w:r>
      <w:r>
        <w:rPr>
          <w:rFonts w:ascii="微软雅黑" w:hAnsi="微软雅黑" w:eastAsia="微软雅黑"/>
          <w:b/>
          <w:color w:val="1F2A44"/>
          <w:sz w:val="22"/>
        </w:rPr>
        <w:t>（1）旧引擎（房地产-14.7%、消费+3.1%）在收缩，获验证；（2）新引擎（汽车+12.6%、新能源+32%、出口+23%）在加码，获验证；（3）财政“收入稳、税收结构偏非税”真实，税收+2.3%远低于收入+5.4%。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唯一的变数：固定资产投资-0.7%略弱于市场预期，提示制造业投资虽然+8.5%、汽车投资+23.6%，仍不足以完全对冲地产收缩。2026年是否能靠“产业投资+基建”把整体投资拉回正增长，是观察重庆的下一步重点。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十三、未来5—10年最值得观察的五条主线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① 汽车“智能化/新能源/出口”三线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新能源汽车产量能否再上一个台阶，海外出口能否持续，智能网联能否兑现。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② 内陆开放枢纽的“有没有”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陆海新通道、中欧班列、长江航运能否持续把“内陆成本”变现为“内陆效率”，尤其对‘一带一路’、东盟的出口。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③ 民营经济与科创密度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61.6%的民营占比、+18.7%的民企出口能否延续；产业“智造+出海”能不能长出新的科创引擎。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④ 成渝双城与内部平衡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能否让渝东北/渝东南“不掉速”，让主城都市区“更强劲”，缩小城乡差距。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⑤ 老龄化+财政可持续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在自然增率-4.7‰、老年人口26.3%的背景下，财政与社保如何可持续、如何用“非税-税收”结构托底。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十四、最终结论：重庆在“西部大开发+超大规模城市”里的增长逻辑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重庆的2025年，本质上是一张“</w:t>
      </w:r>
      <w:r>
        <w:rPr>
          <w:rFonts w:ascii="微软雅黑" w:hAnsi="微软雅黑" w:eastAsia="微软雅黑"/>
          <w:b/>
          <w:color w:val="1F2A44"/>
          <w:sz w:val="22"/>
        </w:rPr>
        <w:t>‘新引擎以加速度换旧引擎以减速’”的答卷</w:t>
      </w:r>
      <w:r>
        <w:rPr>
          <w:rFonts w:ascii="微软雅黑" w:hAnsi="微软雅黑" w:eastAsia="微软雅黑"/>
          <w:b w:val="0"/>
          <w:color w:val="1F2A44"/>
          <w:sz w:val="22"/>
        </w:rPr>
        <w:t>：GDP破3.37万亿、成为中西部首个破“3万亿”大城市，靠的是“新能源汽车+装备+材料+内陆开放”四个新马力；代价是房地产、电子代工、部分消费持续收缩。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只要汽车定价、出海可持续，重庆就站在“西部的带头增长”位置；但如果汽车利润被价格战吃掉、民营与科创上不来、老龄化拖累财政，则可能长期停在“中低熟新”阶段。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最稳妥的观察信号：</w:t>
      </w:r>
      <w:r>
        <w:rPr>
          <w:rFonts w:ascii="微软雅黑" w:hAnsi="微软雅黑" w:eastAsia="微软雅黑"/>
          <w:b/>
          <w:color w:val="1F2A44"/>
          <w:sz w:val="22"/>
        </w:rPr>
        <w:t>一盯汽车产量与出口（存量）、二盯民营占比（存量）、三盯研发与上市数（增量）、四盯财政收入结构与减负（流动）、五盯养老与人口（长期）。</w:t>
      </w:r>
      <w:r>
        <w:rPr>
          <w:rFonts w:ascii="微软雅黑" w:hAnsi="微软雅黑" w:eastAsia="微软雅黑"/>
          <w:b w:val="0"/>
          <w:color w:val="1F2A44"/>
          <w:sz w:val="22"/>
        </w:rPr>
        <w:t>重庆，既是“西部大开发”的窗口，也是“超大城市转型”的长尺子。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附录A：主要资料来源与核验路径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重庆市2025年《政府工作报告》（2025年1月）——预期目标来源。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《重庆市2025年国民经济和社会发展统计公报》（重庆市统计局，2026-03-26）——实值来源，GDP、三次产业、规上工业、投资、外贸、财政、人口、CPI/PPI、民营等。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重庆市统计局《2025年工业运行数据解读》《2025年规上工业十大亮点》——产业细分与“智能网联新能源汽车”聚焦。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2026年重庆市政府工作报告及官方复盘——对“2025实际执行”的追认与“十五五”开局表述。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《成渝地区双城经济圈建设规划纲要》及重庆“西部陆海新通道”专项材料——区域格局与开放战略。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核验说明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本报告所有增速、总量、占比均以统计公报/官方发布为基准；与初稿报告直接引用的“个别数字有细微出入”时，以最新官方发布为准。涉“民营经济占比61.6%”“民营进出口+18.7%”等，以公报/相关部门口径为准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附录B：建议建立的年度跟踪仪表盘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建议把下面10个“测脉搏”指标，做成年年跟踪的表，用来判断重庆‘换挡’是否成功：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45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#</w:t>
            </w:r>
          </w:p>
        </w:tc>
        <w:tc>
          <w:tcPr>
            <w:tcW w:type="dxa" w:w="2835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70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2025基值</w:t>
            </w:r>
          </w:p>
        </w:tc>
        <w:tc>
          <w:tcPr>
            <w:tcW w:type="dxa" w:w="2835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为什么重要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GDP增速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+5.3%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总量与方向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2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新能源汽车产量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129.61万辆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新质生产力核心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汽车产业增加值增速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+12.6%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主引擎健康度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4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固定资产投资增速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-0.7%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旧引擎识别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房地产开发投资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-14.7%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地产收缩幅度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进出口/出口增速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+12.0%/+10.2%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内陆开放兑现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7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民营经济占GDP比重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61.6%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市场化含量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8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财政税收增速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+2.3%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收入质量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9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城镇化率/60岁占比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73.02%/26.2%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城市与老龄化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10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居民收入增速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+4.7%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民生获得感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把这10个指标连起来看，任何一个“新引擎（2/3/7/8）向上、旧引擎（4/5）减速”，都说明重庆在真正“换档”；反之则是旧路径的反复。</w:t>
      </w:r>
    </w:p>
    <w:p>
      <w:pPr>
        <w:spacing w:after="40" w:before="0"/>
      </w:pPr>
    </w:p>
    <w:sectPr w:rsidR="00FC693F" w:rsidRPr="0006063C" w:rsidSect="00034616">
      <w:pgSz w:w="11906" w:h="16838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