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A025" w14:textId="71DD2C23" w:rsidR="00402410" w:rsidRPr="00402410" w:rsidRDefault="00402410" w:rsidP="003A384F">
      <w:pPr>
        <w:spacing w:line="360" w:lineRule="auto"/>
        <w:rPr>
          <w:rFonts w:ascii="Tahoma" w:hAnsi="Tahoma" w:cs="Tahoma"/>
          <w:b/>
          <w:bCs/>
          <w:sz w:val="22"/>
        </w:rPr>
      </w:pPr>
      <w:r w:rsidRPr="00402410">
        <w:rPr>
          <w:rFonts w:ascii="Tahoma" w:hAnsi="Tahoma" w:cs="Tahoma"/>
          <w:b/>
          <w:bCs/>
          <w:sz w:val="22"/>
        </w:rPr>
        <w:t xml:space="preserve">GARCH </w:t>
      </w:r>
      <w:r w:rsidRPr="00402410">
        <w:rPr>
          <w:rFonts w:ascii="Tahoma" w:hAnsi="Tahoma" w:cs="Tahoma" w:hint="eastAsia"/>
          <w:b/>
          <w:bCs/>
          <w:sz w:val="22"/>
        </w:rPr>
        <w:t>model</w:t>
      </w:r>
    </w:p>
    <w:p w14:paraId="54D10859" w14:textId="38D2AB23" w:rsidR="00FF7149" w:rsidRPr="009068A0" w:rsidRDefault="00A62A06" w:rsidP="003A384F">
      <w:pPr>
        <w:spacing w:line="360" w:lineRule="auto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 xml:space="preserve">The following results indicated that </w:t>
      </w:r>
      <w:bookmarkStart w:id="0" w:name="OLE_LINK1"/>
      <w:r w:rsidRPr="009068A0">
        <w:rPr>
          <w:rFonts w:ascii="Tahoma" w:hAnsi="Tahoma" w:cs="Tahoma"/>
          <w:sz w:val="22"/>
        </w:rPr>
        <w:t>GARCH (1,1)</w:t>
      </w:r>
      <w:bookmarkEnd w:id="0"/>
      <w:r w:rsidRPr="009068A0">
        <w:rPr>
          <w:rFonts w:ascii="Tahoma" w:hAnsi="Tahoma" w:cs="Tahoma"/>
          <w:sz w:val="22"/>
        </w:rPr>
        <w:t xml:space="preserve"> is ideally equipped than GARCH (2,1) and GARCH (1,2) with a lower criteria value when comparing the values of Akaike (AIC), which is the information criteria used to evaluate model fitness. As a result, in the following analysis, the GARCH (1,1) will be </w:t>
      </w:r>
      <w:r w:rsidR="009068A0">
        <w:rPr>
          <w:rFonts w:ascii="Tahoma" w:hAnsi="Tahoma" w:cs="Tahoma" w:hint="eastAsia"/>
          <w:sz w:val="22"/>
        </w:rPr>
        <w:t>applied</w:t>
      </w:r>
      <w:r w:rsidRPr="009068A0">
        <w:rPr>
          <w:rFonts w:ascii="Tahoma" w:hAnsi="Tahoma" w:cs="Tahoma"/>
          <w:sz w:val="22"/>
        </w:rPr>
        <w:t xml:space="preserve"> to capture the progression of volatility of the two stocks in the portfolio from Jan 2005 to Dec 2014</w:t>
      </w:r>
      <w:r w:rsidR="003A384F">
        <w:rPr>
          <w:rFonts w:ascii="Tahoma" w:hAnsi="Tahoma" w:cs="Tahoma"/>
          <w:sz w:val="22"/>
        </w:rPr>
        <w:t xml:space="preserve"> (including g</w:t>
      </w:r>
      <w:r w:rsidR="003A384F" w:rsidRPr="003A384F">
        <w:rPr>
          <w:rFonts w:ascii="Tahoma" w:hAnsi="Tahoma" w:cs="Tahoma"/>
          <w:sz w:val="22"/>
        </w:rPr>
        <w:t>lobal financial crisis in 2007-2009</w:t>
      </w:r>
      <w:r w:rsidR="003A384F">
        <w:rPr>
          <w:rFonts w:ascii="Tahoma" w:hAnsi="Tahoma" w:cs="Tahoma"/>
          <w:sz w:val="22"/>
        </w:rPr>
        <w:t xml:space="preserve"> and</w:t>
      </w:r>
      <w:r w:rsidR="003A384F" w:rsidRPr="003A384F">
        <w:rPr>
          <w:rFonts w:ascii="Tahoma" w:hAnsi="Tahoma" w:cs="Tahoma"/>
          <w:sz w:val="22"/>
        </w:rPr>
        <w:t xml:space="preserve"> </w:t>
      </w:r>
      <w:r w:rsidR="003A384F">
        <w:rPr>
          <w:rFonts w:ascii="Tahoma" w:hAnsi="Tahoma" w:cs="Tahoma"/>
          <w:sz w:val="22"/>
        </w:rPr>
        <w:t>E</w:t>
      </w:r>
      <w:r w:rsidR="003A384F" w:rsidRPr="003A384F">
        <w:rPr>
          <w:rFonts w:ascii="Tahoma" w:hAnsi="Tahoma" w:cs="Tahoma"/>
          <w:sz w:val="22"/>
        </w:rPr>
        <w:t>uropean sovereign debt</w:t>
      </w:r>
      <w:r w:rsidR="003A384F">
        <w:rPr>
          <w:rFonts w:ascii="Tahoma" w:hAnsi="Tahoma" w:cs="Tahoma"/>
          <w:sz w:val="22"/>
        </w:rPr>
        <w:t xml:space="preserve"> </w:t>
      </w:r>
      <w:r w:rsidR="003A384F" w:rsidRPr="003A384F">
        <w:rPr>
          <w:rFonts w:ascii="Tahoma" w:hAnsi="Tahoma" w:cs="Tahoma"/>
          <w:sz w:val="22"/>
        </w:rPr>
        <w:t>in 2010-2012</w:t>
      </w:r>
      <w:r w:rsidR="003A384F">
        <w:rPr>
          <w:rFonts w:ascii="Tahoma" w:hAnsi="Tahoma" w:cs="Tahoma"/>
          <w:sz w:val="22"/>
        </w:rPr>
        <w:t xml:space="preserve">) </w:t>
      </w:r>
      <w:r w:rsidRPr="009068A0">
        <w:rPr>
          <w:rFonts w:ascii="Tahoma" w:hAnsi="Tahoma" w:cs="Tahoma"/>
          <w:sz w:val="22"/>
        </w:rPr>
        <w:t>and the returns will be filtered by fitting the chosen GARCH model to gain residuals and standardized residuals.</w:t>
      </w:r>
    </w:p>
    <w:p w14:paraId="1D121BAB" w14:textId="77777777" w:rsidR="009068A0" w:rsidRPr="009068A0" w:rsidRDefault="009068A0" w:rsidP="009068A0">
      <w:pPr>
        <w:spacing w:line="360" w:lineRule="auto"/>
        <w:rPr>
          <w:rFonts w:ascii="Tahoma" w:hAnsi="Tahoma" w:cs="Tahom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7149" w:rsidRPr="009068A0" w14:paraId="080D9569" w14:textId="77777777" w:rsidTr="008E0D56">
        <w:tc>
          <w:tcPr>
            <w:tcW w:w="2074" w:type="dxa"/>
          </w:tcPr>
          <w:p w14:paraId="17297A23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2074" w:type="dxa"/>
          </w:tcPr>
          <w:p w14:paraId="2D3F6097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GARCH</w:t>
            </w:r>
            <w:r w:rsidRPr="009068A0">
              <w:rPr>
                <w:rFonts w:ascii="Tahoma" w:hAnsi="Tahoma" w:cs="Tahoma"/>
                <w:sz w:val="22"/>
              </w:rPr>
              <w:t>（</w:t>
            </w:r>
            <w:r w:rsidRPr="009068A0">
              <w:rPr>
                <w:rFonts w:ascii="Tahoma" w:hAnsi="Tahoma" w:cs="Tahoma"/>
                <w:sz w:val="22"/>
              </w:rPr>
              <w:t>1</w:t>
            </w:r>
            <w:r w:rsidRPr="009068A0">
              <w:rPr>
                <w:rFonts w:ascii="Tahoma" w:hAnsi="Tahoma" w:cs="Tahoma"/>
                <w:sz w:val="22"/>
              </w:rPr>
              <w:t>，</w:t>
            </w:r>
            <w:r w:rsidRPr="009068A0">
              <w:rPr>
                <w:rFonts w:ascii="Tahoma" w:hAnsi="Tahoma" w:cs="Tahoma"/>
                <w:sz w:val="22"/>
              </w:rPr>
              <w:t>1</w:t>
            </w:r>
            <w:r w:rsidRPr="009068A0">
              <w:rPr>
                <w:rFonts w:ascii="Tahoma" w:hAnsi="Tahoma" w:cs="Tahoma"/>
                <w:sz w:val="22"/>
              </w:rPr>
              <w:t>）</w:t>
            </w:r>
          </w:p>
        </w:tc>
        <w:tc>
          <w:tcPr>
            <w:tcW w:w="2074" w:type="dxa"/>
          </w:tcPr>
          <w:p w14:paraId="73694C75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GARCH</w:t>
            </w:r>
            <w:r w:rsidRPr="009068A0">
              <w:rPr>
                <w:rFonts w:ascii="Tahoma" w:hAnsi="Tahoma" w:cs="Tahoma"/>
                <w:sz w:val="22"/>
              </w:rPr>
              <w:t>（</w:t>
            </w:r>
            <w:r w:rsidRPr="009068A0">
              <w:rPr>
                <w:rFonts w:ascii="Tahoma" w:hAnsi="Tahoma" w:cs="Tahoma"/>
                <w:sz w:val="22"/>
              </w:rPr>
              <w:t>1</w:t>
            </w:r>
            <w:r w:rsidRPr="009068A0">
              <w:rPr>
                <w:rFonts w:ascii="Tahoma" w:hAnsi="Tahoma" w:cs="Tahoma"/>
                <w:sz w:val="22"/>
              </w:rPr>
              <w:t>，</w:t>
            </w:r>
            <w:r w:rsidRPr="009068A0">
              <w:rPr>
                <w:rFonts w:ascii="Tahoma" w:hAnsi="Tahoma" w:cs="Tahoma"/>
                <w:sz w:val="22"/>
              </w:rPr>
              <w:t>2</w:t>
            </w:r>
            <w:r w:rsidRPr="009068A0">
              <w:rPr>
                <w:rFonts w:ascii="Tahoma" w:hAnsi="Tahoma" w:cs="Tahoma"/>
                <w:sz w:val="22"/>
              </w:rPr>
              <w:t>）</w:t>
            </w:r>
          </w:p>
        </w:tc>
        <w:tc>
          <w:tcPr>
            <w:tcW w:w="2074" w:type="dxa"/>
          </w:tcPr>
          <w:p w14:paraId="29A708E9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GARCH</w:t>
            </w:r>
            <w:r w:rsidRPr="009068A0">
              <w:rPr>
                <w:rFonts w:ascii="Tahoma" w:hAnsi="Tahoma" w:cs="Tahoma"/>
                <w:sz w:val="22"/>
              </w:rPr>
              <w:t>（</w:t>
            </w:r>
            <w:r w:rsidRPr="009068A0">
              <w:rPr>
                <w:rFonts w:ascii="Tahoma" w:hAnsi="Tahoma" w:cs="Tahoma"/>
                <w:sz w:val="22"/>
              </w:rPr>
              <w:t>2</w:t>
            </w:r>
            <w:r w:rsidRPr="009068A0">
              <w:rPr>
                <w:rFonts w:ascii="Tahoma" w:hAnsi="Tahoma" w:cs="Tahoma"/>
                <w:sz w:val="22"/>
              </w:rPr>
              <w:t>，</w:t>
            </w:r>
            <w:r w:rsidRPr="009068A0">
              <w:rPr>
                <w:rFonts w:ascii="Tahoma" w:hAnsi="Tahoma" w:cs="Tahoma"/>
                <w:sz w:val="22"/>
              </w:rPr>
              <w:t>1</w:t>
            </w:r>
            <w:r w:rsidRPr="009068A0">
              <w:rPr>
                <w:rFonts w:ascii="Tahoma" w:hAnsi="Tahoma" w:cs="Tahoma"/>
                <w:sz w:val="22"/>
              </w:rPr>
              <w:t>）</w:t>
            </w:r>
          </w:p>
        </w:tc>
      </w:tr>
      <w:tr w:rsidR="00FF7149" w:rsidRPr="009068A0" w14:paraId="79EF349D" w14:textId="77777777" w:rsidTr="008E0D56">
        <w:tc>
          <w:tcPr>
            <w:tcW w:w="2074" w:type="dxa"/>
          </w:tcPr>
          <w:p w14:paraId="0C298A8E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WFC</w:t>
            </w:r>
          </w:p>
        </w:tc>
        <w:tc>
          <w:tcPr>
            <w:tcW w:w="2074" w:type="dxa"/>
          </w:tcPr>
          <w:p w14:paraId="30B51FE9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-5.372507</w:t>
            </w:r>
          </w:p>
        </w:tc>
        <w:tc>
          <w:tcPr>
            <w:tcW w:w="2074" w:type="dxa"/>
          </w:tcPr>
          <w:p w14:paraId="2F95FB92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-5.368837</w:t>
            </w:r>
          </w:p>
        </w:tc>
        <w:tc>
          <w:tcPr>
            <w:tcW w:w="2074" w:type="dxa"/>
          </w:tcPr>
          <w:p w14:paraId="27E0E649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-5.368688</w:t>
            </w:r>
          </w:p>
        </w:tc>
      </w:tr>
      <w:tr w:rsidR="00FF7149" w:rsidRPr="009068A0" w14:paraId="0C1DF803" w14:textId="77777777" w:rsidTr="008E0D56">
        <w:tc>
          <w:tcPr>
            <w:tcW w:w="2074" w:type="dxa"/>
          </w:tcPr>
          <w:p w14:paraId="68C270C8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VOD</w:t>
            </w:r>
          </w:p>
        </w:tc>
        <w:tc>
          <w:tcPr>
            <w:tcW w:w="2074" w:type="dxa"/>
          </w:tcPr>
          <w:p w14:paraId="066D8B57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-5.379246</w:t>
            </w:r>
          </w:p>
        </w:tc>
        <w:tc>
          <w:tcPr>
            <w:tcW w:w="2074" w:type="dxa"/>
          </w:tcPr>
          <w:p w14:paraId="3387448D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-5.375881</w:t>
            </w:r>
          </w:p>
        </w:tc>
        <w:tc>
          <w:tcPr>
            <w:tcW w:w="2074" w:type="dxa"/>
          </w:tcPr>
          <w:p w14:paraId="675D94AF" w14:textId="77777777" w:rsidR="00FF7149" w:rsidRPr="009068A0" w:rsidRDefault="00FF7149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-5.376133</w:t>
            </w:r>
          </w:p>
        </w:tc>
      </w:tr>
    </w:tbl>
    <w:p w14:paraId="59306187" w14:textId="723A10D3" w:rsidR="00EA67A5" w:rsidRPr="009068A0" w:rsidRDefault="00EA67A5" w:rsidP="009068A0">
      <w:pPr>
        <w:spacing w:line="360" w:lineRule="auto"/>
        <w:jc w:val="center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 xml:space="preserve">Table 1. AIC values for </w:t>
      </w:r>
      <w:r w:rsidR="00170F22" w:rsidRPr="009068A0">
        <w:rPr>
          <w:rFonts w:ascii="Tahoma" w:hAnsi="Tahoma" w:cs="Tahoma"/>
          <w:sz w:val="22"/>
        </w:rPr>
        <w:t>WFC</w:t>
      </w:r>
      <w:r w:rsidRPr="009068A0">
        <w:rPr>
          <w:rFonts w:ascii="Tahoma" w:hAnsi="Tahoma" w:cs="Tahoma"/>
          <w:sz w:val="22"/>
        </w:rPr>
        <w:t xml:space="preserve"> &amp; </w:t>
      </w:r>
      <w:r w:rsidR="00170F22" w:rsidRPr="009068A0">
        <w:rPr>
          <w:rFonts w:ascii="Tahoma" w:hAnsi="Tahoma" w:cs="Tahoma"/>
          <w:sz w:val="22"/>
        </w:rPr>
        <w:t>VOD</w:t>
      </w:r>
      <w:r w:rsidRPr="009068A0">
        <w:rPr>
          <w:rFonts w:ascii="Tahoma" w:hAnsi="Tahoma" w:cs="Tahoma"/>
          <w:sz w:val="22"/>
        </w:rPr>
        <w:t xml:space="preserve"> based on different GARCH</w:t>
      </w:r>
    </w:p>
    <w:p w14:paraId="79FF9128" w14:textId="77777777" w:rsidR="00900445" w:rsidRDefault="00900445" w:rsidP="00900445">
      <w:pPr>
        <w:spacing w:line="360" w:lineRule="auto"/>
        <w:rPr>
          <w:rFonts w:ascii="Tahoma" w:hAnsi="Tahoma" w:cs="Tahoma"/>
          <w:sz w:val="22"/>
        </w:rPr>
      </w:pPr>
    </w:p>
    <w:p w14:paraId="218F9424" w14:textId="55A4CAF9" w:rsidR="00BF58EA" w:rsidRPr="00900445" w:rsidRDefault="00234287" w:rsidP="00EF420C">
      <w:pPr>
        <w:spacing w:line="36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Thus</w:t>
      </w:r>
      <w:r w:rsidR="00900445" w:rsidRPr="00900445">
        <w:rPr>
          <w:rFonts w:ascii="Tahoma" w:hAnsi="Tahoma" w:cs="Tahoma"/>
          <w:sz w:val="22"/>
        </w:rPr>
        <w:t>, we apply the GARCH (1,1) model to extract the volatility of the two stocks.</w:t>
      </w:r>
      <w:r>
        <w:rPr>
          <w:rFonts w:ascii="Tahoma" w:hAnsi="Tahoma" w:cs="Tahoma"/>
          <w:sz w:val="22"/>
        </w:rPr>
        <w:t xml:space="preserve"> A</w:t>
      </w:r>
      <w:r w:rsidRPr="00900445">
        <w:rPr>
          <w:rFonts w:ascii="Tahoma" w:hAnsi="Tahoma" w:cs="Tahoma"/>
          <w:sz w:val="22"/>
        </w:rPr>
        <w:t>s shown in Figure 1</w:t>
      </w:r>
      <w:r>
        <w:rPr>
          <w:rFonts w:ascii="Tahoma" w:hAnsi="Tahoma" w:cs="Tahoma"/>
          <w:sz w:val="22"/>
        </w:rPr>
        <w:t xml:space="preserve">, these two stocks presented the different volatility facing the </w:t>
      </w:r>
      <w:r w:rsidR="001C78BD">
        <w:rPr>
          <w:rFonts w:ascii="Tahoma" w:hAnsi="Tahoma" w:cs="Tahoma"/>
          <w:sz w:val="22"/>
        </w:rPr>
        <w:t>global</w:t>
      </w:r>
      <w:r>
        <w:rPr>
          <w:rFonts w:ascii="Tahoma" w:hAnsi="Tahoma" w:cs="Tahoma"/>
          <w:sz w:val="22"/>
        </w:rPr>
        <w:t xml:space="preserve"> </w:t>
      </w:r>
      <w:r w:rsidR="001C78BD">
        <w:rPr>
          <w:rFonts w:ascii="Tahoma" w:hAnsi="Tahoma" w:cs="Tahoma"/>
          <w:sz w:val="22"/>
        </w:rPr>
        <w:t xml:space="preserve">financial </w:t>
      </w:r>
      <w:r w:rsidR="00EF420C">
        <w:rPr>
          <w:rFonts w:ascii="Tahoma" w:hAnsi="Tahoma" w:cs="Tahoma"/>
          <w:sz w:val="22"/>
        </w:rPr>
        <w:t>crisis</w:t>
      </w:r>
      <w:r w:rsidR="0020405A">
        <w:rPr>
          <w:rFonts w:ascii="Tahoma" w:hAnsi="Tahoma" w:cs="Tahoma"/>
          <w:sz w:val="22"/>
        </w:rPr>
        <w:t xml:space="preserve"> and </w:t>
      </w:r>
      <w:r w:rsidR="00EF420C" w:rsidRPr="00EF420C">
        <w:rPr>
          <w:rFonts w:ascii="Tahoma" w:hAnsi="Tahoma" w:cs="Tahoma"/>
          <w:sz w:val="22"/>
        </w:rPr>
        <w:t>European sovereign debt</w:t>
      </w:r>
      <w:r w:rsidR="00EF420C">
        <w:rPr>
          <w:rFonts w:ascii="Tahoma" w:hAnsi="Tahoma" w:cs="Tahoma" w:hint="eastAsia"/>
          <w:sz w:val="22"/>
        </w:rPr>
        <w:t xml:space="preserve"> </w:t>
      </w:r>
      <w:r w:rsidR="00EF420C" w:rsidRPr="00EF420C">
        <w:rPr>
          <w:rFonts w:ascii="Tahoma" w:hAnsi="Tahoma" w:cs="Tahoma"/>
          <w:sz w:val="22"/>
        </w:rPr>
        <w:t>crisis</w:t>
      </w:r>
      <w:r>
        <w:rPr>
          <w:rFonts w:ascii="Tahoma" w:hAnsi="Tahoma" w:cs="Tahoma"/>
          <w:sz w:val="22"/>
        </w:rPr>
        <w:t xml:space="preserve">. </w:t>
      </w:r>
      <w:r w:rsidR="00D14C12">
        <w:rPr>
          <w:rFonts w:ascii="Tahoma" w:hAnsi="Tahoma" w:cs="Tahoma"/>
          <w:sz w:val="22"/>
        </w:rPr>
        <w:t xml:space="preserve">WFC’s </w:t>
      </w:r>
      <w:r w:rsidR="00250BDC">
        <w:rPr>
          <w:rFonts w:ascii="Tahoma" w:hAnsi="Tahoma" w:cs="Tahoma"/>
          <w:sz w:val="22"/>
        </w:rPr>
        <w:t xml:space="preserve">volatility </w:t>
      </w:r>
      <w:r w:rsidR="00D84996">
        <w:rPr>
          <w:rFonts w:ascii="Tahoma" w:hAnsi="Tahoma" w:cs="Tahoma"/>
          <w:sz w:val="22"/>
        </w:rPr>
        <w:t>was at peak reaching</w:t>
      </w:r>
      <w:r w:rsidR="001B10E6">
        <w:rPr>
          <w:rFonts w:ascii="Tahoma" w:hAnsi="Tahoma" w:cs="Tahoma"/>
          <w:sz w:val="22"/>
        </w:rPr>
        <w:t>12% at the end of 2008</w:t>
      </w:r>
      <w:r w:rsidR="00BF58EA">
        <w:rPr>
          <w:rFonts w:ascii="Tahoma" w:hAnsi="Tahoma" w:cs="Tahoma"/>
          <w:sz w:val="22"/>
        </w:rPr>
        <w:t xml:space="preserve"> and it has </w:t>
      </w:r>
      <w:proofErr w:type="gramStart"/>
      <w:r w:rsidR="00BF58EA">
        <w:rPr>
          <w:rFonts w:ascii="Tahoma" w:hAnsi="Tahoma" w:cs="Tahoma"/>
          <w:sz w:val="22"/>
        </w:rPr>
        <w:t>a</w:t>
      </w:r>
      <w:proofErr w:type="gramEnd"/>
      <w:r w:rsidR="00BF58EA">
        <w:rPr>
          <w:rFonts w:ascii="Tahoma" w:hAnsi="Tahoma" w:cs="Tahoma"/>
          <w:sz w:val="22"/>
        </w:rPr>
        <w:t xml:space="preserve"> </w:t>
      </w:r>
      <w:r w:rsidR="005E2ABE">
        <w:rPr>
          <w:rFonts w:ascii="Tahoma" w:hAnsi="Tahoma" w:cs="Tahoma"/>
          <w:sz w:val="22"/>
        </w:rPr>
        <w:t xml:space="preserve">evident fluctuation in 2011. However, </w:t>
      </w:r>
      <w:r w:rsidR="00BF58EA">
        <w:rPr>
          <w:rFonts w:ascii="Tahoma" w:hAnsi="Tahoma" w:cs="Tahoma"/>
          <w:sz w:val="22"/>
        </w:rPr>
        <w:t>VOD</w:t>
      </w:r>
      <w:r w:rsidR="00BF58EA" w:rsidRPr="00BF58EA">
        <w:rPr>
          <w:rFonts w:ascii="Tahoma" w:hAnsi="Tahoma" w:cs="Tahoma"/>
          <w:sz w:val="22"/>
        </w:rPr>
        <w:t xml:space="preserve"> fluctuated </w:t>
      </w:r>
      <w:r w:rsidR="005E2ABE">
        <w:rPr>
          <w:rFonts w:ascii="Tahoma" w:hAnsi="Tahoma" w:cs="Tahoma"/>
          <w:sz w:val="22"/>
        </w:rPr>
        <w:t>with a relatively steady trend</w:t>
      </w:r>
      <w:r w:rsidR="00BF58EA" w:rsidRPr="00BF58EA">
        <w:rPr>
          <w:rFonts w:ascii="Tahoma" w:hAnsi="Tahoma" w:cs="Tahoma"/>
          <w:sz w:val="22"/>
        </w:rPr>
        <w:t xml:space="preserve">, showing a better ability to bear pressure </w:t>
      </w:r>
      <w:r w:rsidR="00BF58EA">
        <w:rPr>
          <w:rFonts w:ascii="Tahoma" w:hAnsi="Tahoma" w:cs="Tahoma"/>
          <w:sz w:val="22"/>
        </w:rPr>
        <w:t>o</w:t>
      </w:r>
      <w:r w:rsidR="00BF58EA" w:rsidRPr="00BF58EA">
        <w:rPr>
          <w:rFonts w:ascii="Tahoma" w:hAnsi="Tahoma" w:cs="Tahoma"/>
          <w:sz w:val="22"/>
        </w:rPr>
        <w:t>ver the same period</w:t>
      </w:r>
      <w:r w:rsidR="00BF58EA">
        <w:rPr>
          <w:rFonts w:ascii="Tahoma" w:hAnsi="Tahoma" w:cs="Tahoma" w:hint="eastAsia"/>
          <w:sz w:val="22"/>
        </w:rPr>
        <w:t>.</w:t>
      </w:r>
      <w:r w:rsidR="00BF58EA">
        <w:rPr>
          <w:rFonts w:ascii="Tahoma" w:hAnsi="Tahoma" w:cs="Tahoma"/>
          <w:sz w:val="22"/>
        </w:rPr>
        <w:t xml:space="preserve"> </w:t>
      </w:r>
    </w:p>
    <w:p w14:paraId="44FCB0E2" w14:textId="1CDCAC3F" w:rsidR="00EA67A5" w:rsidRPr="009068A0" w:rsidRDefault="0087008E" w:rsidP="009068A0">
      <w:pPr>
        <w:spacing w:line="360" w:lineRule="auto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noProof/>
          <w:sz w:val="22"/>
        </w:rPr>
        <w:drawing>
          <wp:inline distT="0" distB="0" distL="0" distR="0" wp14:anchorId="566C24AF" wp14:editId="7DA0822E">
            <wp:extent cx="2650281" cy="18854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33" cy="190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8A0">
        <w:rPr>
          <w:rFonts w:ascii="Tahoma" w:hAnsi="Tahoma" w:cs="Tahoma"/>
          <w:noProof/>
          <w:sz w:val="22"/>
        </w:rPr>
        <w:drawing>
          <wp:inline distT="0" distB="0" distL="0" distR="0" wp14:anchorId="58C8BFE8" wp14:editId="2481777F">
            <wp:extent cx="2538688" cy="1874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63" cy="18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3CF0" w14:textId="7AC0E3DB" w:rsidR="00EA67A5" w:rsidRPr="00900445" w:rsidRDefault="00D13826" w:rsidP="009068A0">
      <w:pPr>
        <w:spacing w:line="360" w:lineRule="auto"/>
        <w:jc w:val="center"/>
        <w:rPr>
          <w:rFonts w:ascii="Tahoma" w:hAnsi="Tahoma" w:cs="Tahoma"/>
          <w:sz w:val="22"/>
        </w:rPr>
      </w:pPr>
      <w:r w:rsidRPr="00900445">
        <w:rPr>
          <w:rFonts w:ascii="Tahoma" w:hAnsi="Tahoma" w:cs="Tahoma"/>
          <w:sz w:val="22"/>
        </w:rPr>
        <w:t>Figure1. The estimated volatility of WF</w:t>
      </w:r>
      <w:r w:rsidR="00900445" w:rsidRPr="00900445">
        <w:rPr>
          <w:rFonts w:ascii="Tahoma" w:hAnsi="Tahoma" w:cs="Tahoma"/>
          <w:sz w:val="22"/>
        </w:rPr>
        <w:t>C (left)</w:t>
      </w:r>
      <w:r w:rsidRPr="00900445">
        <w:rPr>
          <w:rFonts w:ascii="Tahoma" w:hAnsi="Tahoma" w:cs="Tahoma"/>
          <w:sz w:val="22"/>
        </w:rPr>
        <w:t xml:space="preserve"> and VO</w:t>
      </w:r>
      <w:r w:rsidR="00900445" w:rsidRPr="00900445">
        <w:rPr>
          <w:rFonts w:ascii="Tahoma" w:hAnsi="Tahoma" w:cs="Tahoma"/>
          <w:sz w:val="22"/>
        </w:rPr>
        <w:t>D (right)</w:t>
      </w:r>
      <w:r w:rsidRPr="00900445">
        <w:rPr>
          <w:rFonts w:ascii="Tahoma" w:hAnsi="Tahoma" w:cs="Tahoma"/>
          <w:sz w:val="22"/>
        </w:rPr>
        <w:t xml:space="preserve"> during the per</w:t>
      </w:r>
      <w:r w:rsidR="00900445" w:rsidRPr="00900445">
        <w:rPr>
          <w:rFonts w:ascii="Tahoma" w:hAnsi="Tahoma" w:cs="Tahoma" w:hint="eastAsia"/>
          <w:sz w:val="22"/>
        </w:rPr>
        <w:t>iod</w:t>
      </w:r>
    </w:p>
    <w:p w14:paraId="5DF4FF74" w14:textId="77777777" w:rsidR="000C3EE3" w:rsidRDefault="000C3EE3" w:rsidP="000C3EE3">
      <w:pPr>
        <w:spacing w:line="360" w:lineRule="auto"/>
        <w:rPr>
          <w:rFonts w:ascii="Tahoma" w:hAnsi="Tahoma" w:cs="Tahoma"/>
          <w:sz w:val="22"/>
        </w:rPr>
      </w:pPr>
    </w:p>
    <w:p w14:paraId="5C82E755" w14:textId="77777777" w:rsidR="000C3EE3" w:rsidRDefault="000C3EE3" w:rsidP="000C3EE3">
      <w:pPr>
        <w:spacing w:line="360" w:lineRule="auto"/>
        <w:rPr>
          <w:rFonts w:ascii="Tahoma" w:hAnsi="Tahoma" w:cs="Tahoma"/>
          <w:b/>
          <w:bCs/>
          <w:sz w:val="22"/>
        </w:rPr>
      </w:pPr>
    </w:p>
    <w:p w14:paraId="610CF5E0" w14:textId="77777777" w:rsidR="000C3EE3" w:rsidRDefault="000C3EE3" w:rsidP="000C3EE3">
      <w:pPr>
        <w:spacing w:line="360" w:lineRule="auto"/>
        <w:rPr>
          <w:rFonts w:ascii="Tahoma" w:hAnsi="Tahoma" w:cs="Tahoma"/>
          <w:b/>
          <w:bCs/>
          <w:sz w:val="22"/>
        </w:rPr>
      </w:pPr>
    </w:p>
    <w:p w14:paraId="6FB8B671" w14:textId="77777777" w:rsidR="000C3EE3" w:rsidRDefault="000C3EE3" w:rsidP="000C3EE3">
      <w:pPr>
        <w:spacing w:line="360" w:lineRule="auto"/>
        <w:rPr>
          <w:rFonts w:ascii="Tahoma" w:hAnsi="Tahoma" w:cs="Tahoma"/>
          <w:b/>
          <w:bCs/>
          <w:sz w:val="22"/>
        </w:rPr>
      </w:pPr>
    </w:p>
    <w:p w14:paraId="4337B201" w14:textId="77777777" w:rsidR="000C3EE3" w:rsidRDefault="000C3EE3" w:rsidP="000C3EE3">
      <w:pPr>
        <w:spacing w:line="360" w:lineRule="auto"/>
        <w:rPr>
          <w:rFonts w:ascii="Tahoma" w:hAnsi="Tahoma" w:cs="Tahoma"/>
          <w:b/>
          <w:bCs/>
          <w:sz w:val="22"/>
        </w:rPr>
      </w:pPr>
    </w:p>
    <w:p w14:paraId="3AC06497" w14:textId="4AB4A0FC" w:rsidR="000C3EE3" w:rsidRDefault="000C3EE3" w:rsidP="000C3EE3">
      <w:pPr>
        <w:spacing w:line="360" w:lineRule="auto"/>
        <w:rPr>
          <w:rFonts w:ascii="Tahoma" w:hAnsi="Tahoma" w:cs="Tahoma"/>
          <w:b/>
          <w:bCs/>
          <w:sz w:val="22"/>
        </w:rPr>
      </w:pPr>
      <w:r w:rsidRPr="000C3EE3">
        <w:rPr>
          <w:rFonts w:ascii="Tahoma" w:hAnsi="Tahoma" w:cs="Tahoma"/>
          <w:b/>
          <w:bCs/>
          <w:sz w:val="22"/>
        </w:rPr>
        <w:t xml:space="preserve">Fitting and comparison of Marginal Distributions </w:t>
      </w:r>
    </w:p>
    <w:p w14:paraId="0E90CE79" w14:textId="00D62700" w:rsidR="000C3EE3" w:rsidRPr="00B82EED" w:rsidRDefault="00B82EED" w:rsidP="000C3EE3">
      <w:pPr>
        <w:spacing w:line="360" w:lineRule="auto"/>
        <w:rPr>
          <w:rFonts w:ascii="Tahoma" w:hAnsi="Tahoma" w:cs="Tahoma"/>
          <w:sz w:val="22"/>
        </w:rPr>
      </w:pPr>
      <w:r w:rsidRPr="00B82EED">
        <w:rPr>
          <w:rFonts w:ascii="Tahoma" w:hAnsi="Tahoma" w:cs="Tahoma"/>
          <w:sz w:val="22"/>
        </w:rPr>
        <w:t>The greater log-likelihood value and lower AIC value represent a better fit of the relevant distribution with data</w:t>
      </w:r>
      <w:r w:rsidR="001C25A1">
        <w:rPr>
          <w:rFonts w:ascii="Tahoma" w:hAnsi="Tahoma" w:cs="Tahoma"/>
          <w:sz w:val="22"/>
        </w:rPr>
        <w:t>(</w:t>
      </w:r>
      <w:r w:rsidR="001C25A1">
        <w:rPr>
          <w:rFonts w:ascii="Tahoma" w:hAnsi="Tahoma" w:cs="Tahoma" w:hint="eastAsia"/>
          <w:sz w:val="22"/>
        </w:rPr>
        <w:t>引用</w:t>
      </w:r>
      <w:r w:rsidR="001C25A1">
        <w:rPr>
          <w:rFonts w:ascii="Tahoma" w:hAnsi="Tahoma" w:cs="Tahoma"/>
          <w:sz w:val="22"/>
        </w:rPr>
        <w:t>)</w:t>
      </w:r>
      <w:r w:rsidRPr="00B82EED">
        <w:rPr>
          <w:rFonts w:ascii="Tahoma" w:hAnsi="Tahoma" w:cs="Tahoma"/>
          <w:sz w:val="22"/>
        </w:rPr>
        <w:t>. Given the standardized residuals of the two businesses' stock log returns, the fitting quality of the t-distribution is superior than Gaussian distribution</w:t>
      </w:r>
      <w:r>
        <w:rPr>
          <w:rFonts w:ascii="Tahoma" w:hAnsi="Tahoma" w:cs="Tahoma"/>
          <w:sz w:val="22"/>
        </w:rPr>
        <w:t xml:space="preserve"> (</w:t>
      </w:r>
      <w:r w:rsidR="00954DF3">
        <w:rPr>
          <w:rFonts w:ascii="Tahoma" w:hAnsi="Tahoma" w:cs="Tahoma"/>
          <w:sz w:val="22"/>
        </w:rPr>
        <w:t>A</w:t>
      </w:r>
      <w:r w:rsidRPr="00B82EED">
        <w:rPr>
          <w:rFonts w:ascii="Tahoma" w:hAnsi="Tahoma" w:cs="Tahoma"/>
          <w:sz w:val="22"/>
        </w:rPr>
        <w:t>s shown in Table 2</w:t>
      </w:r>
      <w:r>
        <w:rPr>
          <w:rFonts w:ascii="Tahoma" w:hAnsi="Tahoma" w:cs="Tahoma"/>
          <w:sz w:val="22"/>
        </w:rPr>
        <w:t>)</w:t>
      </w:r>
      <w:r w:rsidRPr="00B82EED">
        <w:rPr>
          <w:rFonts w:ascii="Tahoma" w:hAnsi="Tahoma" w:cs="Tahoma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E2924" w:rsidRPr="009068A0" w14:paraId="6C138A62" w14:textId="77777777" w:rsidTr="00321771">
        <w:tc>
          <w:tcPr>
            <w:tcW w:w="1704" w:type="dxa"/>
          </w:tcPr>
          <w:p w14:paraId="2388CCE4" w14:textId="77777777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3408" w:type="dxa"/>
            <w:gridSpan w:val="2"/>
          </w:tcPr>
          <w:p w14:paraId="0E80D5AD" w14:textId="3674C62B" w:rsidR="005E2924" w:rsidRPr="009068A0" w:rsidRDefault="005E2924" w:rsidP="009068A0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Gaussian</w:t>
            </w:r>
          </w:p>
        </w:tc>
        <w:tc>
          <w:tcPr>
            <w:tcW w:w="3410" w:type="dxa"/>
            <w:gridSpan w:val="2"/>
          </w:tcPr>
          <w:p w14:paraId="208010DC" w14:textId="0A728A20" w:rsidR="005E2924" w:rsidRPr="009068A0" w:rsidRDefault="005E2924" w:rsidP="009068A0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t</w:t>
            </w:r>
          </w:p>
        </w:tc>
      </w:tr>
      <w:tr w:rsidR="005E2924" w:rsidRPr="009068A0" w14:paraId="2772C2D6" w14:textId="77777777" w:rsidTr="005E2924">
        <w:tc>
          <w:tcPr>
            <w:tcW w:w="1704" w:type="dxa"/>
          </w:tcPr>
          <w:p w14:paraId="44B0AFDD" w14:textId="35DBF115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Stock</w:t>
            </w:r>
          </w:p>
        </w:tc>
        <w:tc>
          <w:tcPr>
            <w:tcW w:w="1704" w:type="dxa"/>
          </w:tcPr>
          <w:p w14:paraId="4957783E" w14:textId="42F3AD65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Log-likelihood</w:t>
            </w:r>
          </w:p>
        </w:tc>
        <w:tc>
          <w:tcPr>
            <w:tcW w:w="1704" w:type="dxa"/>
          </w:tcPr>
          <w:p w14:paraId="3BACBCE3" w14:textId="017DAE2B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AIC</w:t>
            </w:r>
          </w:p>
        </w:tc>
        <w:tc>
          <w:tcPr>
            <w:tcW w:w="1705" w:type="dxa"/>
          </w:tcPr>
          <w:p w14:paraId="6CD72C8D" w14:textId="795BE003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Log-likelihood</w:t>
            </w:r>
          </w:p>
        </w:tc>
        <w:tc>
          <w:tcPr>
            <w:tcW w:w="1705" w:type="dxa"/>
          </w:tcPr>
          <w:p w14:paraId="15D50022" w14:textId="0232AC25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AIC</w:t>
            </w:r>
          </w:p>
        </w:tc>
      </w:tr>
      <w:tr w:rsidR="005E2924" w:rsidRPr="009068A0" w14:paraId="725B6D9D" w14:textId="77777777" w:rsidTr="005E2924">
        <w:tc>
          <w:tcPr>
            <w:tcW w:w="1704" w:type="dxa"/>
          </w:tcPr>
          <w:p w14:paraId="78A96534" w14:textId="4E9DF6EB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WFC</w:t>
            </w:r>
          </w:p>
        </w:tc>
        <w:tc>
          <w:tcPr>
            <w:tcW w:w="1704" w:type="dxa"/>
          </w:tcPr>
          <w:p w14:paraId="159C7773" w14:textId="5A6B9F39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-3585.134</w:t>
            </w:r>
          </w:p>
        </w:tc>
        <w:tc>
          <w:tcPr>
            <w:tcW w:w="1704" w:type="dxa"/>
          </w:tcPr>
          <w:p w14:paraId="2E9F3E7C" w14:textId="1033B9ED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7174.269</w:t>
            </w:r>
          </w:p>
        </w:tc>
        <w:tc>
          <w:tcPr>
            <w:tcW w:w="1705" w:type="dxa"/>
          </w:tcPr>
          <w:p w14:paraId="2E2CEE5E" w14:textId="5359C2ED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-3496.589</w:t>
            </w:r>
          </w:p>
        </w:tc>
        <w:tc>
          <w:tcPr>
            <w:tcW w:w="1705" w:type="dxa"/>
          </w:tcPr>
          <w:p w14:paraId="0CC16564" w14:textId="7953C966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6999.178</w:t>
            </w:r>
          </w:p>
        </w:tc>
      </w:tr>
      <w:tr w:rsidR="005E2924" w:rsidRPr="009068A0" w14:paraId="45EA0E4B" w14:textId="77777777" w:rsidTr="005E2924">
        <w:tc>
          <w:tcPr>
            <w:tcW w:w="1704" w:type="dxa"/>
          </w:tcPr>
          <w:p w14:paraId="38891A65" w14:textId="62553EB5" w:rsidR="005E2924" w:rsidRPr="009068A0" w:rsidRDefault="005E2924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VOD</w:t>
            </w:r>
          </w:p>
        </w:tc>
        <w:tc>
          <w:tcPr>
            <w:tcW w:w="1704" w:type="dxa"/>
          </w:tcPr>
          <w:p w14:paraId="7EC65FFE" w14:textId="52E2A8E7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-3564.161</w:t>
            </w:r>
          </w:p>
        </w:tc>
        <w:tc>
          <w:tcPr>
            <w:tcW w:w="1704" w:type="dxa"/>
          </w:tcPr>
          <w:p w14:paraId="1B5D822B" w14:textId="0F071AE1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7132.322</w:t>
            </w:r>
          </w:p>
        </w:tc>
        <w:tc>
          <w:tcPr>
            <w:tcW w:w="1705" w:type="dxa"/>
          </w:tcPr>
          <w:p w14:paraId="6D577EDD" w14:textId="46686276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-3421.569</w:t>
            </w:r>
          </w:p>
        </w:tc>
        <w:tc>
          <w:tcPr>
            <w:tcW w:w="1705" w:type="dxa"/>
          </w:tcPr>
          <w:p w14:paraId="50AADCEB" w14:textId="6EB6ACE2" w:rsidR="005E2924" w:rsidRPr="009068A0" w:rsidRDefault="001418F6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6849.138</w:t>
            </w:r>
          </w:p>
        </w:tc>
      </w:tr>
    </w:tbl>
    <w:p w14:paraId="7D47370C" w14:textId="2C5F5B61" w:rsidR="00EA67A5" w:rsidRDefault="001418F6" w:rsidP="009068A0">
      <w:pPr>
        <w:spacing w:line="360" w:lineRule="auto"/>
        <w:jc w:val="center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>Table 2. Log-likelihood and AIC values for Gaussian, t</w:t>
      </w:r>
    </w:p>
    <w:p w14:paraId="61417094" w14:textId="77777777" w:rsidR="00954DF3" w:rsidRPr="009068A0" w:rsidRDefault="00954DF3" w:rsidP="009068A0">
      <w:pPr>
        <w:spacing w:line="360" w:lineRule="auto"/>
        <w:jc w:val="center"/>
        <w:rPr>
          <w:rFonts w:ascii="Tahoma" w:hAnsi="Tahoma" w:cs="Tahoma"/>
          <w:sz w:val="22"/>
        </w:rPr>
      </w:pPr>
    </w:p>
    <w:p w14:paraId="18A1C6C4" w14:textId="1219D1F0" w:rsidR="001418F6" w:rsidRPr="009068A0" w:rsidRDefault="002C2B13" w:rsidP="009068A0">
      <w:pPr>
        <w:spacing w:line="36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In addition, </w:t>
      </w:r>
      <w:r w:rsidR="00A27A04">
        <w:rPr>
          <w:rFonts w:ascii="Tahoma" w:hAnsi="Tahoma" w:cs="Tahoma"/>
          <w:sz w:val="22"/>
        </w:rPr>
        <w:t xml:space="preserve">we built the histogram of density and standardized residual for </w:t>
      </w:r>
      <w:r w:rsidR="00954DF3">
        <w:rPr>
          <w:rFonts w:ascii="Tahoma" w:hAnsi="Tahoma" w:cs="Tahoma"/>
          <w:sz w:val="22"/>
        </w:rPr>
        <w:t>these two companies</w:t>
      </w:r>
      <w:r w:rsidR="00A27A04">
        <w:rPr>
          <w:rFonts w:ascii="Tahoma" w:hAnsi="Tahoma" w:cs="Tahoma"/>
          <w:sz w:val="22"/>
        </w:rPr>
        <w:t xml:space="preserve"> and </w:t>
      </w:r>
      <w:proofErr w:type="gramStart"/>
      <w:r w:rsidR="00A27A04">
        <w:rPr>
          <w:rFonts w:ascii="Tahoma" w:hAnsi="Tahoma" w:cs="Tahoma"/>
          <w:sz w:val="22"/>
        </w:rPr>
        <w:t>it is clear that the</w:t>
      </w:r>
      <w:proofErr w:type="gramEnd"/>
      <w:r w:rsidR="00A27A04">
        <w:rPr>
          <w:rFonts w:ascii="Tahoma" w:hAnsi="Tahoma" w:cs="Tahoma"/>
          <w:sz w:val="22"/>
        </w:rPr>
        <w:t xml:space="preserve"> fitting quality of </w:t>
      </w:r>
      <w:r w:rsidR="00954DF3">
        <w:rPr>
          <w:rFonts w:ascii="Tahoma" w:hAnsi="Tahoma" w:cs="Tahoma"/>
          <w:sz w:val="22"/>
        </w:rPr>
        <w:t xml:space="preserve">t copula distribution is better that Gaussian distribution, which leads the same conclusion of </w:t>
      </w:r>
      <w:r w:rsidR="00954DF3" w:rsidRPr="00B82EED">
        <w:rPr>
          <w:rFonts w:ascii="Tahoma" w:hAnsi="Tahoma" w:cs="Tahoma"/>
          <w:sz w:val="22"/>
        </w:rPr>
        <w:t>log-likelihood</w:t>
      </w:r>
      <w:r w:rsidR="00954DF3">
        <w:rPr>
          <w:rFonts w:ascii="Tahoma" w:hAnsi="Tahoma" w:cs="Tahoma"/>
          <w:sz w:val="22"/>
        </w:rPr>
        <w:t xml:space="preserve"> </w:t>
      </w:r>
      <w:r w:rsidR="00954DF3" w:rsidRPr="00B82EED">
        <w:rPr>
          <w:rFonts w:ascii="Tahoma" w:hAnsi="Tahoma" w:cs="Tahoma"/>
          <w:sz w:val="22"/>
        </w:rPr>
        <w:t>and AIC</w:t>
      </w:r>
      <w:r w:rsidR="00954DF3">
        <w:rPr>
          <w:rFonts w:ascii="Tahoma" w:hAnsi="Tahoma" w:cs="Tahoma"/>
          <w:sz w:val="22"/>
        </w:rPr>
        <w:t xml:space="preserve"> comparison.</w:t>
      </w:r>
    </w:p>
    <w:p w14:paraId="71716A85" w14:textId="5EBAFC71" w:rsidR="00243EFA" w:rsidRPr="009068A0" w:rsidRDefault="002B58B7" w:rsidP="009068A0">
      <w:pPr>
        <w:spacing w:line="360" w:lineRule="auto"/>
        <w:jc w:val="left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noProof/>
          <w:sz w:val="22"/>
        </w:rPr>
        <w:drawing>
          <wp:inline distT="0" distB="0" distL="0" distR="0" wp14:anchorId="578C0436" wp14:editId="5653C2C7">
            <wp:extent cx="2569718" cy="18124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t="2743" r="-1"/>
                    <a:stretch/>
                  </pic:blipFill>
                  <pic:spPr bwMode="auto">
                    <a:xfrm>
                      <a:off x="0" y="0"/>
                      <a:ext cx="2624847" cy="18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826" w:rsidRPr="009068A0">
        <w:rPr>
          <w:rFonts w:ascii="Tahoma" w:hAnsi="Tahoma" w:cs="Tahoma"/>
          <w:noProof/>
          <w:sz w:val="22"/>
        </w:rPr>
        <w:drawing>
          <wp:inline distT="0" distB="0" distL="0" distR="0" wp14:anchorId="46736094" wp14:editId="4D7B7688">
            <wp:extent cx="2653093" cy="18818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2" r="1254"/>
                    <a:stretch/>
                  </pic:blipFill>
                  <pic:spPr bwMode="auto">
                    <a:xfrm>
                      <a:off x="0" y="0"/>
                      <a:ext cx="2667105" cy="189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632BC" w14:textId="634D9FD2" w:rsidR="0087008E" w:rsidRPr="009068A0" w:rsidRDefault="00D13826" w:rsidP="009068A0">
      <w:pPr>
        <w:spacing w:line="360" w:lineRule="auto"/>
        <w:jc w:val="center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>Figure 2. Plotting of Gaussian copula, t copula</w:t>
      </w:r>
    </w:p>
    <w:p w14:paraId="2D90B727" w14:textId="26704D37" w:rsidR="0087008E" w:rsidRDefault="0087008E" w:rsidP="009068A0">
      <w:pPr>
        <w:spacing w:line="360" w:lineRule="auto"/>
        <w:rPr>
          <w:rFonts w:ascii="Tahoma" w:hAnsi="Tahoma" w:cs="Tahoma"/>
          <w:sz w:val="22"/>
        </w:rPr>
      </w:pPr>
    </w:p>
    <w:p w14:paraId="3D4F09ED" w14:textId="2EA84DF7" w:rsidR="002C2B13" w:rsidRPr="006D6EA7" w:rsidRDefault="006D6EA7" w:rsidP="009068A0">
      <w:pPr>
        <w:spacing w:line="360" w:lineRule="auto"/>
        <w:rPr>
          <w:rFonts w:ascii="Tahoma" w:hAnsi="Tahoma" w:cs="Tahoma"/>
          <w:b/>
          <w:bCs/>
          <w:sz w:val="22"/>
        </w:rPr>
      </w:pPr>
      <w:r w:rsidRPr="006D6EA7">
        <w:rPr>
          <w:rFonts w:ascii="Tahoma" w:hAnsi="Tahoma" w:cs="Tahoma"/>
          <w:b/>
          <w:bCs/>
          <w:sz w:val="22"/>
        </w:rPr>
        <w:t>Copula correlation and multivariat</w:t>
      </w:r>
      <w:r>
        <w:rPr>
          <w:rFonts w:ascii="Tahoma" w:hAnsi="Tahoma" w:cs="Tahoma"/>
          <w:b/>
          <w:bCs/>
          <w:sz w:val="22"/>
        </w:rPr>
        <w:t>e distribution</w:t>
      </w:r>
    </w:p>
    <w:p w14:paraId="5385CD0C" w14:textId="77777777" w:rsidR="002C2B13" w:rsidRPr="009068A0" w:rsidRDefault="002C2B13" w:rsidP="002C2B13">
      <w:pPr>
        <w:spacing w:line="360" w:lineRule="auto"/>
        <w:rPr>
          <w:rFonts w:ascii="Tahoma" w:hAnsi="Tahoma" w:cs="Tahom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C2B13" w:rsidRPr="009068A0" w14:paraId="58FB37C8" w14:textId="77777777" w:rsidTr="008E0D56">
        <w:tc>
          <w:tcPr>
            <w:tcW w:w="2840" w:type="dxa"/>
          </w:tcPr>
          <w:p w14:paraId="4F182232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proofErr w:type="spellStart"/>
            <w:r w:rsidRPr="009068A0">
              <w:rPr>
                <w:rFonts w:ascii="Tahoma" w:hAnsi="Tahoma" w:cs="Tahoma"/>
                <w:sz w:val="22"/>
              </w:rPr>
              <w:lastRenderedPageBreak/>
              <w:t>Coef</w:t>
            </w:r>
            <w:proofErr w:type="spellEnd"/>
            <w:r w:rsidRPr="009068A0">
              <w:rPr>
                <w:rFonts w:ascii="Tahoma" w:hAnsi="Tahoma" w:cs="Tahoma"/>
                <w:sz w:val="22"/>
              </w:rPr>
              <w:t xml:space="preserve"> (normal copula)</w:t>
            </w:r>
          </w:p>
        </w:tc>
        <w:tc>
          <w:tcPr>
            <w:tcW w:w="2841" w:type="dxa"/>
          </w:tcPr>
          <w:p w14:paraId="6BE4B406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WFC</w:t>
            </w:r>
          </w:p>
        </w:tc>
        <w:tc>
          <w:tcPr>
            <w:tcW w:w="2841" w:type="dxa"/>
          </w:tcPr>
          <w:p w14:paraId="3FDB3E8B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VOD</w:t>
            </w:r>
          </w:p>
        </w:tc>
      </w:tr>
      <w:tr w:rsidR="002C2B13" w:rsidRPr="009068A0" w14:paraId="4E1F55E2" w14:textId="77777777" w:rsidTr="008E0D56">
        <w:tc>
          <w:tcPr>
            <w:tcW w:w="2840" w:type="dxa"/>
          </w:tcPr>
          <w:p w14:paraId="3897D2F7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WFC</w:t>
            </w:r>
          </w:p>
        </w:tc>
        <w:tc>
          <w:tcPr>
            <w:tcW w:w="2841" w:type="dxa"/>
          </w:tcPr>
          <w:p w14:paraId="3385295E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2841" w:type="dxa"/>
          </w:tcPr>
          <w:p w14:paraId="1690DA9C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0C3EE3">
              <w:rPr>
                <w:rFonts w:ascii="Tahoma" w:hAnsi="Tahoma" w:cs="Tahoma"/>
                <w:sz w:val="22"/>
              </w:rPr>
              <w:t>0.4084652</w:t>
            </w:r>
          </w:p>
        </w:tc>
      </w:tr>
      <w:tr w:rsidR="002C2B13" w:rsidRPr="009068A0" w14:paraId="54C68936" w14:textId="77777777" w:rsidTr="008E0D56">
        <w:tc>
          <w:tcPr>
            <w:tcW w:w="2840" w:type="dxa"/>
          </w:tcPr>
          <w:p w14:paraId="232E9652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VOD</w:t>
            </w:r>
          </w:p>
        </w:tc>
        <w:tc>
          <w:tcPr>
            <w:tcW w:w="2841" w:type="dxa"/>
          </w:tcPr>
          <w:p w14:paraId="4D498BC0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0C3EE3">
              <w:rPr>
                <w:rFonts w:ascii="Tahoma" w:hAnsi="Tahoma" w:cs="Tahoma"/>
                <w:sz w:val="22"/>
              </w:rPr>
              <w:t>0.4084652</w:t>
            </w:r>
          </w:p>
        </w:tc>
        <w:tc>
          <w:tcPr>
            <w:tcW w:w="2841" w:type="dxa"/>
          </w:tcPr>
          <w:p w14:paraId="198314ED" w14:textId="77777777" w:rsidR="002C2B13" w:rsidRPr="009068A0" w:rsidRDefault="002C2B13" w:rsidP="008E0D56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1</w:t>
            </w:r>
          </w:p>
        </w:tc>
      </w:tr>
    </w:tbl>
    <w:p w14:paraId="5F8AB089" w14:textId="77777777" w:rsidR="002C2B13" w:rsidRPr="009068A0" w:rsidRDefault="002C2B13" w:rsidP="002C2B13">
      <w:pPr>
        <w:spacing w:line="360" w:lineRule="auto"/>
        <w:ind w:firstLineChars="200" w:firstLine="440"/>
        <w:jc w:val="center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>Table 3. Correlation matrix of the fitted Gaussian copula</w:t>
      </w:r>
    </w:p>
    <w:p w14:paraId="66A36264" w14:textId="77777777" w:rsidR="002C2B13" w:rsidRPr="009068A0" w:rsidRDefault="002C2B13" w:rsidP="002C2B13">
      <w:pPr>
        <w:spacing w:line="360" w:lineRule="auto"/>
        <w:jc w:val="center"/>
        <w:rPr>
          <w:rFonts w:ascii="Tahoma" w:hAnsi="Tahoma" w:cs="Tahoma"/>
          <w:sz w:val="22"/>
        </w:rPr>
      </w:pPr>
    </w:p>
    <w:p w14:paraId="5DB3BDD0" w14:textId="77777777" w:rsidR="002C2B13" w:rsidRPr="002C2B13" w:rsidRDefault="002C2B13" w:rsidP="009068A0">
      <w:pPr>
        <w:spacing w:line="360" w:lineRule="auto"/>
        <w:rPr>
          <w:rFonts w:ascii="Tahoma" w:hAnsi="Tahoma" w:cs="Tahom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627C" w:rsidRPr="009068A0" w14:paraId="3905A0A9" w14:textId="77777777" w:rsidTr="00E4627C">
        <w:tc>
          <w:tcPr>
            <w:tcW w:w="4261" w:type="dxa"/>
          </w:tcPr>
          <w:p w14:paraId="38759D5D" w14:textId="7719243B" w:rsidR="00E4627C" w:rsidRPr="009068A0" w:rsidRDefault="00E4627C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copula</w:t>
            </w:r>
          </w:p>
        </w:tc>
        <w:tc>
          <w:tcPr>
            <w:tcW w:w="4261" w:type="dxa"/>
          </w:tcPr>
          <w:p w14:paraId="1322CC55" w14:textId="0E2965EC" w:rsidR="00E4627C" w:rsidRPr="009068A0" w:rsidRDefault="00E4627C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Log-likelihood</w:t>
            </w:r>
          </w:p>
        </w:tc>
      </w:tr>
      <w:tr w:rsidR="00E4627C" w:rsidRPr="009068A0" w14:paraId="39B9F854" w14:textId="77777777" w:rsidTr="00E4627C">
        <w:tc>
          <w:tcPr>
            <w:tcW w:w="4261" w:type="dxa"/>
          </w:tcPr>
          <w:p w14:paraId="27F14DAF" w14:textId="50AC8083" w:rsidR="00E4627C" w:rsidRPr="009068A0" w:rsidRDefault="00E4627C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Gaussian</w:t>
            </w:r>
          </w:p>
        </w:tc>
        <w:tc>
          <w:tcPr>
            <w:tcW w:w="4261" w:type="dxa"/>
          </w:tcPr>
          <w:p w14:paraId="6F3E07B1" w14:textId="16E1376A" w:rsidR="00E4627C" w:rsidRPr="009068A0" w:rsidRDefault="00E4627C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229.5</w:t>
            </w:r>
          </w:p>
        </w:tc>
      </w:tr>
      <w:tr w:rsidR="00E4627C" w:rsidRPr="009068A0" w14:paraId="67EC80E1" w14:textId="77777777" w:rsidTr="00E4627C">
        <w:tc>
          <w:tcPr>
            <w:tcW w:w="4261" w:type="dxa"/>
          </w:tcPr>
          <w:p w14:paraId="2E787F11" w14:textId="55595875" w:rsidR="00E4627C" w:rsidRPr="009068A0" w:rsidRDefault="00E4627C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t</w:t>
            </w:r>
          </w:p>
        </w:tc>
        <w:tc>
          <w:tcPr>
            <w:tcW w:w="4261" w:type="dxa"/>
          </w:tcPr>
          <w:p w14:paraId="5FAF6CC4" w14:textId="08C22BEB" w:rsidR="00E4627C" w:rsidRPr="009068A0" w:rsidRDefault="00E4627C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242.5</w:t>
            </w:r>
          </w:p>
        </w:tc>
      </w:tr>
    </w:tbl>
    <w:p w14:paraId="3CDBEE83" w14:textId="56DA6158" w:rsidR="00243EFA" w:rsidRPr="009068A0" w:rsidRDefault="00E4627C" w:rsidP="009068A0">
      <w:pPr>
        <w:spacing w:line="360" w:lineRule="auto"/>
        <w:jc w:val="center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>Table 4. Results of copula fit</w:t>
      </w:r>
    </w:p>
    <w:p w14:paraId="12D53FD8" w14:textId="19FEF0E7" w:rsidR="00E4627C" w:rsidRPr="009068A0" w:rsidRDefault="00E4627C" w:rsidP="009068A0">
      <w:pPr>
        <w:spacing w:line="360" w:lineRule="auto"/>
        <w:rPr>
          <w:rFonts w:ascii="Tahoma" w:hAnsi="Tahoma" w:cs="Tahoma"/>
          <w:sz w:val="22"/>
        </w:rPr>
      </w:pPr>
    </w:p>
    <w:p w14:paraId="646C8091" w14:textId="77777777" w:rsidR="00E4627C" w:rsidRPr="009068A0" w:rsidRDefault="00E4627C" w:rsidP="009068A0">
      <w:pPr>
        <w:spacing w:line="360" w:lineRule="auto"/>
        <w:rPr>
          <w:rFonts w:ascii="Tahoma" w:hAnsi="Tahoma" w:cs="Tahom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3EFA" w:rsidRPr="009068A0" w14:paraId="4D3A882E" w14:textId="77777777" w:rsidTr="008E0D56">
        <w:tc>
          <w:tcPr>
            <w:tcW w:w="2840" w:type="dxa"/>
          </w:tcPr>
          <w:p w14:paraId="73A62D89" w14:textId="2AA085BE" w:rsidR="00243EFA" w:rsidRPr="009068A0" w:rsidRDefault="00243EFA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proofErr w:type="spellStart"/>
            <w:r w:rsidRPr="009068A0">
              <w:rPr>
                <w:rFonts w:ascii="Tahoma" w:hAnsi="Tahoma" w:cs="Tahoma"/>
                <w:sz w:val="22"/>
              </w:rPr>
              <w:t>Coef</w:t>
            </w:r>
            <w:proofErr w:type="spellEnd"/>
            <w:r w:rsidRPr="009068A0">
              <w:rPr>
                <w:rFonts w:ascii="Tahoma" w:hAnsi="Tahoma" w:cs="Tahoma"/>
                <w:sz w:val="22"/>
              </w:rPr>
              <w:t xml:space="preserve"> (t copula)</w:t>
            </w:r>
          </w:p>
        </w:tc>
        <w:tc>
          <w:tcPr>
            <w:tcW w:w="2841" w:type="dxa"/>
          </w:tcPr>
          <w:p w14:paraId="492DD97B" w14:textId="77777777" w:rsidR="00243EFA" w:rsidRPr="009068A0" w:rsidRDefault="00243EFA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WFC</w:t>
            </w:r>
          </w:p>
        </w:tc>
        <w:tc>
          <w:tcPr>
            <w:tcW w:w="2841" w:type="dxa"/>
          </w:tcPr>
          <w:p w14:paraId="7EFD0F22" w14:textId="77777777" w:rsidR="00243EFA" w:rsidRPr="009068A0" w:rsidRDefault="00243EFA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VOD</w:t>
            </w:r>
          </w:p>
        </w:tc>
      </w:tr>
      <w:tr w:rsidR="00243EFA" w:rsidRPr="009068A0" w14:paraId="2059246E" w14:textId="77777777" w:rsidTr="008E0D56">
        <w:tc>
          <w:tcPr>
            <w:tcW w:w="2840" w:type="dxa"/>
          </w:tcPr>
          <w:p w14:paraId="59873E3A" w14:textId="77777777" w:rsidR="00243EFA" w:rsidRPr="009068A0" w:rsidRDefault="00243EFA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WFC</w:t>
            </w:r>
          </w:p>
        </w:tc>
        <w:tc>
          <w:tcPr>
            <w:tcW w:w="2841" w:type="dxa"/>
          </w:tcPr>
          <w:p w14:paraId="346B1807" w14:textId="77777777" w:rsidR="00243EFA" w:rsidRPr="009068A0" w:rsidRDefault="00243EFA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2841" w:type="dxa"/>
          </w:tcPr>
          <w:p w14:paraId="0B85A009" w14:textId="709767D6" w:rsidR="00243EFA" w:rsidRPr="009068A0" w:rsidRDefault="000C3EE3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0C3EE3">
              <w:rPr>
                <w:rFonts w:ascii="Tahoma" w:hAnsi="Tahoma" w:cs="Tahoma"/>
                <w:sz w:val="22"/>
              </w:rPr>
              <w:t>0.4149912</w:t>
            </w:r>
          </w:p>
        </w:tc>
      </w:tr>
      <w:tr w:rsidR="00243EFA" w:rsidRPr="009068A0" w14:paraId="69C54DAC" w14:textId="77777777" w:rsidTr="008E0D56">
        <w:tc>
          <w:tcPr>
            <w:tcW w:w="2840" w:type="dxa"/>
          </w:tcPr>
          <w:p w14:paraId="16D75B6B" w14:textId="77777777" w:rsidR="00243EFA" w:rsidRPr="009068A0" w:rsidRDefault="00243EFA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VOD</w:t>
            </w:r>
          </w:p>
        </w:tc>
        <w:tc>
          <w:tcPr>
            <w:tcW w:w="2841" w:type="dxa"/>
          </w:tcPr>
          <w:p w14:paraId="5EDAC7F9" w14:textId="6BF8644A" w:rsidR="00243EFA" w:rsidRPr="009068A0" w:rsidRDefault="000C3EE3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0C3EE3">
              <w:rPr>
                <w:rFonts w:ascii="Tahoma" w:hAnsi="Tahoma" w:cs="Tahoma"/>
                <w:sz w:val="22"/>
              </w:rPr>
              <w:t>0.4149912</w:t>
            </w:r>
          </w:p>
        </w:tc>
        <w:tc>
          <w:tcPr>
            <w:tcW w:w="2841" w:type="dxa"/>
          </w:tcPr>
          <w:p w14:paraId="0A368CD4" w14:textId="77777777" w:rsidR="00243EFA" w:rsidRPr="009068A0" w:rsidRDefault="00243EFA" w:rsidP="009068A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9068A0">
              <w:rPr>
                <w:rFonts w:ascii="Tahoma" w:hAnsi="Tahoma" w:cs="Tahoma"/>
                <w:sz w:val="22"/>
              </w:rPr>
              <w:t>1</w:t>
            </w:r>
          </w:p>
        </w:tc>
      </w:tr>
    </w:tbl>
    <w:p w14:paraId="00E08287" w14:textId="33F929A9" w:rsidR="00243EFA" w:rsidRPr="009068A0" w:rsidRDefault="00243EFA" w:rsidP="009068A0">
      <w:pPr>
        <w:spacing w:line="360" w:lineRule="auto"/>
        <w:jc w:val="center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 xml:space="preserve">Table </w:t>
      </w:r>
      <w:r w:rsidR="00E4627C" w:rsidRPr="009068A0">
        <w:rPr>
          <w:rFonts w:ascii="Tahoma" w:hAnsi="Tahoma" w:cs="Tahoma"/>
          <w:sz w:val="22"/>
        </w:rPr>
        <w:t>5</w:t>
      </w:r>
      <w:r w:rsidRPr="009068A0">
        <w:rPr>
          <w:rFonts w:ascii="Tahoma" w:hAnsi="Tahoma" w:cs="Tahoma"/>
          <w:sz w:val="22"/>
        </w:rPr>
        <w:t>. Correlation matrix of the fitted t copula</w:t>
      </w:r>
    </w:p>
    <w:p w14:paraId="706D44E0" w14:textId="2AF838B1" w:rsidR="00D13826" w:rsidRPr="009068A0" w:rsidRDefault="00D13826" w:rsidP="009068A0">
      <w:pPr>
        <w:spacing w:line="360" w:lineRule="auto"/>
        <w:rPr>
          <w:rFonts w:ascii="Tahoma" w:hAnsi="Tahoma" w:cs="Tahoma"/>
          <w:sz w:val="22"/>
        </w:rPr>
      </w:pPr>
    </w:p>
    <w:p w14:paraId="0FA3A6C2" w14:textId="5DE57BAC" w:rsidR="00D13826" w:rsidRPr="009068A0" w:rsidRDefault="00D13826" w:rsidP="00F60683">
      <w:pPr>
        <w:spacing w:line="360" w:lineRule="auto"/>
        <w:jc w:val="left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noProof/>
          <w:sz w:val="22"/>
        </w:rPr>
        <w:drawing>
          <wp:inline distT="0" distB="0" distL="0" distR="0" wp14:anchorId="38D0F27B" wp14:editId="3ED155FF">
            <wp:extent cx="2596104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52" cy="2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683" w:rsidRPr="00F60683">
        <w:rPr>
          <w:rFonts w:ascii="Tahoma" w:hAnsi="Tahoma" w:cs="Tahoma"/>
          <w:noProof/>
          <w:sz w:val="22"/>
        </w:rPr>
        <w:drawing>
          <wp:inline distT="0" distB="0" distL="0" distR="0" wp14:anchorId="576415C6" wp14:editId="17D58868">
            <wp:extent cx="2671762" cy="22510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91" cy="22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1CFB" w14:textId="028EF895" w:rsidR="00D13826" w:rsidRDefault="00D13826" w:rsidP="009068A0">
      <w:pPr>
        <w:spacing w:line="360" w:lineRule="auto"/>
        <w:jc w:val="center"/>
        <w:rPr>
          <w:rFonts w:ascii="Tahoma" w:hAnsi="Tahoma" w:cs="Tahoma"/>
          <w:sz w:val="22"/>
        </w:rPr>
      </w:pPr>
      <w:r w:rsidRPr="009068A0">
        <w:rPr>
          <w:rFonts w:ascii="Tahoma" w:hAnsi="Tahoma" w:cs="Tahoma"/>
          <w:sz w:val="22"/>
        </w:rPr>
        <w:t>Figure 3. Multivariate distribution</w:t>
      </w:r>
    </w:p>
    <w:p w14:paraId="41E32D51" w14:textId="5501CB3B" w:rsidR="00AF0296" w:rsidRDefault="00EF79FC" w:rsidP="00AF0296">
      <w:pPr>
        <w:spacing w:line="360" w:lineRule="auto"/>
        <w:rPr>
          <w:rFonts w:ascii="Tahoma" w:hAnsi="Tahoma" w:cs="Tahoma"/>
          <w:sz w:val="22"/>
        </w:rPr>
      </w:pPr>
      <w:r w:rsidRPr="00EF79FC">
        <w:rPr>
          <w:rFonts w:ascii="Tahoma" w:hAnsi="Tahoma" w:cs="Tahoma"/>
          <w:noProof/>
          <w:sz w:val="22"/>
        </w:rPr>
        <w:lastRenderedPageBreak/>
        <w:drawing>
          <wp:inline distT="0" distB="0" distL="0" distR="0" wp14:anchorId="2923D0A5" wp14:editId="74EE0993">
            <wp:extent cx="2625679" cy="25193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992" cy="25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9FC">
        <w:rPr>
          <w:rFonts w:ascii="Tahoma" w:hAnsi="Tahoma" w:cs="Tahoma"/>
          <w:noProof/>
          <w:sz w:val="22"/>
        </w:rPr>
        <w:drawing>
          <wp:inline distT="0" distB="0" distL="0" distR="0" wp14:anchorId="07374439" wp14:editId="2252E24C">
            <wp:extent cx="2633662" cy="2458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 t="918" b="1"/>
                    <a:stretch/>
                  </pic:blipFill>
                  <pic:spPr bwMode="auto">
                    <a:xfrm>
                      <a:off x="0" y="0"/>
                      <a:ext cx="2657974" cy="24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53A2" w14:textId="69ED253A" w:rsidR="00AF0296" w:rsidRDefault="00AF0296" w:rsidP="00AF0296">
      <w:pPr>
        <w:spacing w:line="360" w:lineRule="auto"/>
        <w:rPr>
          <w:rFonts w:ascii="Tahoma" w:hAnsi="Tahoma" w:cs="Tahoma"/>
          <w:sz w:val="22"/>
        </w:rPr>
      </w:pPr>
      <w:proofErr w:type="spellStart"/>
      <w:r>
        <w:rPr>
          <w:rFonts w:ascii="Tahoma" w:hAnsi="Tahoma" w:cs="Tahoma" w:hint="eastAsia"/>
          <w:sz w:val="22"/>
        </w:rPr>
        <w:t>Garc</w:t>
      </w:r>
      <w:r>
        <w:rPr>
          <w:rFonts w:ascii="Tahoma" w:hAnsi="Tahoma" w:cs="Tahoma"/>
          <w:sz w:val="22"/>
        </w:rPr>
        <w:t>h</w:t>
      </w:r>
      <w:proofErr w:type="spellEnd"/>
      <w:r>
        <w:rPr>
          <w:rFonts w:ascii="Tahoma" w:hAnsi="Tahoma" w:cs="Tahoma" w:hint="eastAsia"/>
          <w:sz w:val="22"/>
        </w:rPr>
        <w:t xml:space="preserve"> </w:t>
      </w:r>
      <w:r>
        <w:rPr>
          <w:rFonts w:ascii="Tahoma" w:hAnsi="Tahoma" w:cs="Tahoma"/>
          <w:sz w:val="22"/>
        </w:rPr>
        <w:t>lec3</w:t>
      </w:r>
    </w:p>
    <w:p w14:paraId="49BA21F9" w14:textId="2D89A4CE" w:rsidR="00AF0296" w:rsidRDefault="00AF0296" w:rsidP="00AF0296">
      <w:pPr>
        <w:spacing w:line="36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Likelihood 5</w:t>
      </w:r>
    </w:p>
    <w:sectPr w:rsidR="00AF0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70CB" w14:textId="77777777" w:rsidR="00E96082" w:rsidRDefault="00E96082" w:rsidP="00FF7149">
      <w:r>
        <w:separator/>
      </w:r>
    </w:p>
  </w:endnote>
  <w:endnote w:type="continuationSeparator" w:id="0">
    <w:p w14:paraId="5255153D" w14:textId="77777777" w:rsidR="00E96082" w:rsidRDefault="00E96082" w:rsidP="00FF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D5EC" w14:textId="77777777" w:rsidR="00E96082" w:rsidRDefault="00E96082" w:rsidP="00FF7149">
      <w:r>
        <w:separator/>
      </w:r>
    </w:p>
  </w:footnote>
  <w:footnote w:type="continuationSeparator" w:id="0">
    <w:p w14:paraId="75E74E2B" w14:textId="77777777" w:rsidR="00E96082" w:rsidRDefault="00E96082" w:rsidP="00FF7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E89"/>
    <w:rsid w:val="00057507"/>
    <w:rsid w:val="000C3EE3"/>
    <w:rsid w:val="001418F6"/>
    <w:rsid w:val="00170F22"/>
    <w:rsid w:val="00197E89"/>
    <w:rsid w:val="001B10E6"/>
    <w:rsid w:val="001C25A1"/>
    <w:rsid w:val="001C78BD"/>
    <w:rsid w:val="0020405A"/>
    <w:rsid w:val="00234287"/>
    <w:rsid w:val="00243EFA"/>
    <w:rsid w:val="00250BDC"/>
    <w:rsid w:val="002643ED"/>
    <w:rsid w:val="002B58B7"/>
    <w:rsid w:val="002C2B13"/>
    <w:rsid w:val="00312BF6"/>
    <w:rsid w:val="003A384F"/>
    <w:rsid w:val="00402410"/>
    <w:rsid w:val="005E2924"/>
    <w:rsid w:val="005E2ABE"/>
    <w:rsid w:val="00695AA2"/>
    <w:rsid w:val="006D6EA7"/>
    <w:rsid w:val="00806A81"/>
    <w:rsid w:val="0087008E"/>
    <w:rsid w:val="00876464"/>
    <w:rsid w:val="008902E1"/>
    <w:rsid w:val="00900445"/>
    <w:rsid w:val="009068A0"/>
    <w:rsid w:val="00927051"/>
    <w:rsid w:val="009341DE"/>
    <w:rsid w:val="00954DF3"/>
    <w:rsid w:val="009A2B88"/>
    <w:rsid w:val="00A27A04"/>
    <w:rsid w:val="00A62A06"/>
    <w:rsid w:val="00A878D2"/>
    <w:rsid w:val="00AE3CE9"/>
    <w:rsid w:val="00AF0296"/>
    <w:rsid w:val="00B82EED"/>
    <w:rsid w:val="00BF58EA"/>
    <w:rsid w:val="00D13826"/>
    <w:rsid w:val="00D14C12"/>
    <w:rsid w:val="00D3100A"/>
    <w:rsid w:val="00D3187C"/>
    <w:rsid w:val="00D84996"/>
    <w:rsid w:val="00D87512"/>
    <w:rsid w:val="00DD372F"/>
    <w:rsid w:val="00E4627C"/>
    <w:rsid w:val="00E81338"/>
    <w:rsid w:val="00E96082"/>
    <w:rsid w:val="00EA67A5"/>
    <w:rsid w:val="00EF420C"/>
    <w:rsid w:val="00EF79FC"/>
    <w:rsid w:val="00F60683"/>
    <w:rsid w:val="00F7218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D3F0"/>
  <w15:docId w15:val="{EDCDFE49-E3B0-4E4C-93CD-6EF2C49B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7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7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诚成</dc:creator>
  <cp:keywords/>
  <dc:description/>
  <cp:lastModifiedBy>吴 诚成</cp:lastModifiedBy>
  <cp:revision>16</cp:revision>
  <dcterms:created xsi:type="dcterms:W3CDTF">2021-12-04T12:07:00Z</dcterms:created>
  <dcterms:modified xsi:type="dcterms:W3CDTF">2021-12-07T05:19:00Z</dcterms:modified>
</cp:coreProperties>
</file>