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10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tudent(StdNo, StdName, StdAddress, StdCity, StdState, StdZip, StdEmai)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Institution(InstID, InstName, InstMascot)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Lender(LenderNo, LendName)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Loan(LoanNo, StdNo, InstID, LenderNo, ProcDate, DisbMethod, DisbBank, DateAuth, NoteValue, Subsidized, Rate)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</w:t>
        <w:tab/>
        <w:t xml:space="preserve">FOREIGN KEY(StdNo) REFERENCES Student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</w:t>
        <w:tab/>
        <w:t xml:space="preserve">FOREIGN KEY(InstID) REFERENCES Institution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</w:t>
        <w:tab/>
        <w:t xml:space="preserve">FOREIGN KEY(LenderNo) REFERENCES Lender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StdNo NOT NULL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InstID NOT NULL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LenderNo NOT NULL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DisburseLine(LoanNo,DateSent, Amount, OrigFee, GuarFee)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</w:t>
        <w:tab/>
        <w:t xml:space="preserve">FOREIGN KEY(LoanNo) REFERENCES Loan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Conversion rules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Use the entity type rule to convert each entity type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Use the 1-M relationship rule for all relationships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Use  the M-N relationship rule (not needed).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Use the identification dependency rule to make LoanNo a component of the PK of DisburseLine. The PK of the DisburseLine table is a combination of LoanNo and DateSent. A not null constraint is not needed for DisburseLine.LoanNo because this column is part of the primary key of DisburseLine.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