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1F78" w14:textId="5B35D172" w:rsidR="001B3490" w:rsidRPr="00CE03ED" w:rsidRDefault="001B3490" w:rsidP="00E9084C">
      <w:pPr>
        <w:spacing w:line="360" w:lineRule="auto"/>
        <w:ind w:firstLineChars="200" w:firstLine="360"/>
        <w:jc w:val="center"/>
        <w:rPr>
          <w:rFonts w:ascii="宋体" w:eastAsia="宋体" w:hAnsi="宋体" w:hint="eastAsia"/>
          <w:sz w:val="18"/>
          <w:szCs w:val="18"/>
        </w:rPr>
      </w:pPr>
      <w:r w:rsidRPr="00CE03ED">
        <w:rPr>
          <w:rFonts w:ascii="宋体" w:eastAsia="宋体" w:hAnsi="宋体"/>
          <w:sz w:val="18"/>
          <w:szCs w:val="18"/>
        </w:rPr>
        <w:t>从“大陆政策”到“治安国家”：战间期日本陆军的东亚秩序构想</w:t>
      </w:r>
    </w:p>
    <w:p w14:paraId="450F3222" w14:textId="77777777" w:rsidR="001B3490" w:rsidRPr="00CE03ED" w:rsidRDefault="001B3490" w:rsidP="00E9084C">
      <w:pPr>
        <w:spacing w:line="360" w:lineRule="auto"/>
        <w:ind w:firstLineChars="200" w:firstLine="360"/>
        <w:jc w:val="right"/>
        <w:rPr>
          <w:rFonts w:ascii="宋体" w:eastAsia="宋体" w:hAnsi="宋体" w:hint="eastAsia"/>
          <w:sz w:val="18"/>
          <w:szCs w:val="18"/>
        </w:rPr>
      </w:pPr>
      <w:r w:rsidRPr="00CE03ED">
        <w:rPr>
          <w:rFonts w:ascii="宋体" w:eastAsia="宋体" w:hAnsi="宋体"/>
          <w:sz w:val="18"/>
          <w:szCs w:val="18"/>
        </w:rPr>
        <w:t>——以黑泽文贵《两次世界大战之间的日本陆军》为中心</w:t>
      </w:r>
    </w:p>
    <w:p w14:paraId="07D644D5" w14:textId="4CC1AB7E" w:rsidR="009B7CB8" w:rsidRPr="00E954E0" w:rsidRDefault="001B3490" w:rsidP="00E9084C">
      <w:pPr>
        <w:spacing w:line="360" w:lineRule="auto"/>
        <w:rPr>
          <w:rFonts w:ascii="宋体" w:eastAsia="宋体" w:hAnsi="宋体" w:hint="eastAsia"/>
          <w:b/>
          <w:bCs/>
          <w:sz w:val="18"/>
          <w:szCs w:val="18"/>
        </w:rPr>
      </w:pPr>
      <w:r w:rsidRPr="00E954E0">
        <w:rPr>
          <w:rFonts w:ascii="宋体" w:eastAsia="宋体" w:hAnsi="宋体"/>
          <w:b/>
          <w:bCs/>
          <w:sz w:val="18"/>
          <w:szCs w:val="18"/>
        </w:rPr>
        <w:t>摘要</w:t>
      </w:r>
    </w:p>
    <w:p w14:paraId="45825F94" w14:textId="77777777" w:rsidR="00F31552" w:rsidRDefault="0053287A" w:rsidP="00F31552">
      <w:pPr>
        <w:spacing w:line="360" w:lineRule="auto"/>
        <w:ind w:firstLineChars="200" w:firstLine="360"/>
        <w:rPr>
          <w:rFonts w:ascii="宋体" w:eastAsia="宋体" w:hAnsi="宋体" w:hint="eastAsia"/>
          <w:sz w:val="18"/>
          <w:szCs w:val="18"/>
        </w:rPr>
      </w:pPr>
      <w:r w:rsidRPr="00E954E0">
        <w:rPr>
          <w:rFonts w:ascii="宋体" w:eastAsia="宋体" w:hAnsi="宋体"/>
          <w:sz w:val="18"/>
          <w:szCs w:val="18"/>
        </w:rPr>
        <w:t>战间期日本陆军在东亚秩序问题上的思考，并非单线条地从“对外扩张”走向“对外侵略”，而是在第一次世界大战所开启的总体战时代冲击下，逐步把“资源—动员—统制—治安”连成一套内外联动的政治想象。黑泽文贵指出，日本陆军在大正民主时期并非天然反民主或一味“保守”，而是在应对总体战课题与国内外体制重组的过程中，经历了“革新化”并最终成为昭和战前国家转向的关键推动者（黑泽文贵，第1页；第53页）。本文以“从大陆政策到治安国家”为分析框架：一方面考察20年代田中义一—宇垣一成路线下，陆军如何在“华盛顿体系+日中苏协调”中追求一种以满洲“治安维持”为核心的大陆秩序；另一方面揭示30年代以后陆军将“侵略满蒙”与“改造国家”视为互为表里，并以此推动以治安、统制与总动员为支柱的新体制，最终形成可称为“治安国家”的东亚秩序构想（黑泽文贵，第326页；第367页；第379页；第384页）。同时，本文结合书中关于陆军对美国认识的章节，说明其东亚秩序构想与日美关系、对华政策之间的结构性关联（黑泽文贵，第233页；第236页；第246页）。</w:t>
      </w:r>
    </w:p>
    <w:p w14:paraId="62E70079" w14:textId="77777777" w:rsidR="00F31552" w:rsidRDefault="0053287A" w:rsidP="00E9084C">
      <w:pPr>
        <w:spacing w:line="360" w:lineRule="auto"/>
        <w:rPr>
          <w:rFonts w:ascii="宋体" w:eastAsia="宋体" w:hAnsi="宋体" w:hint="eastAsia"/>
          <w:sz w:val="18"/>
          <w:szCs w:val="18"/>
        </w:rPr>
      </w:pPr>
      <w:r w:rsidRPr="00E954E0">
        <w:rPr>
          <w:rFonts w:ascii="宋体" w:eastAsia="宋体" w:hAnsi="宋体"/>
          <w:b/>
          <w:bCs/>
          <w:sz w:val="18"/>
          <w:szCs w:val="18"/>
        </w:rPr>
        <w:t>关键词</w:t>
      </w:r>
      <w:r w:rsidRPr="00E954E0">
        <w:rPr>
          <w:rFonts w:ascii="宋体" w:eastAsia="宋体" w:hAnsi="宋体"/>
          <w:sz w:val="18"/>
          <w:szCs w:val="18"/>
        </w:rPr>
        <w:t>：日本陆军；战间期；大陆政策；治安国家；总体战；1925年体制；东亚秩序</w:t>
      </w:r>
    </w:p>
    <w:p w14:paraId="6F82438A" w14:textId="77777777" w:rsidR="00F31552" w:rsidRDefault="00721FC6" w:rsidP="00F31552">
      <w:pPr>
        <w:spacing w:line="360" w:lineRule="auto"/>
        <w:rPr>
          <w:rFonts w:ascii="宋体" w:eastAsia="宋体" w:hAnsi="宋体" w:hint="eastAsia"/>
          <w:sz w:val="18"/>
          <w:szCs w:val="18"/>
        </w:rPr>
      </w:pPr>
      <w:r w:rsidRPr="00E954E0">
        <w:rPr>
          <w:rFonts w:ascii="宋体" w:eastAsia="宋体" w:hAnsi="宋体"/>
          <w:b/>
          <w:bCs/>
          <w:sz w:val="18"/>
          <w:szCs w:val="18"/>
        </w:rPr>
        <w:t>引言</w:t>
      </w:r>
      <w:r w:rsidRPr="00E954E0">
        <w:rPr>
          <w:rFonts w:ascii="宋体" w:eastAsia="宋体" w:hAnsi="宋体"/>
          <w:sz w:val="18"/>
          <w:szCs w:val="18"/>
        </w:rPr>
        <w:t>：问题意识与分析框架</w:t>
      </w:r>
    </w:p>
    <w:p w14:paraId="6ACA2E13" w14:textId="77777777" w:rsidR="00F31552" w:rsidRDefault="009164E5" w:rsidP="00F31552">
      <w:pPr>
        <w:spacing w:line="360" w:lineRule="auto"/>
        <w:ind w:firstLineChars="200" w:firstLine="360"/>
        <w:rPr>
          <w:rFonts w:ascii="宋体" w:eastAsia="宋体" w:hAnsi="宋体" w:hint="eastAsia"/>
          <w:sz w:val="18"/>
          <w:szCs w:val="18"/>
        </w:rPr>
      </w:pPr>
      <w:r w:rsidRPr="00E954E0">
        <w:rPr>
          <w:rFonts w:ascii="宋体" w:eastAsia="宋体" w:hAnsi="宋体"/>
          <w:sz w:val="18"/>
          <w:szCs w:val="18"/>
        </w:rPr>
        <w:t>黑泽文贵在序章开宗明义提出三项问题：为何“大正民主时期”被视为“保守”的陆军会发生“革新化”并蜕变为昭和法西斯主义时期的陆军？为何陆军在30年代成为日本政治主角并推动日本走向对外战争？又如何理解陆军内部“革新/保守”的具体指向及其历史效应（黑泽文贵，第1页）？这些提问启发我们：若把战间期日本陆军仅仅理解为“既定侵略路线的执行者”，就会忽略其在总体战时代对国家与区域秩序进行“方案化”设计的能力，也会忽略其在20年代仍能在一定程度上与国内政党政治、国际协调外交共存的复杂性。</w:t>
      </w:r>
    </w:p>
    <w:p w14:paraId="5906E445" w14:textId="77777777" w:rsidR="00F31552" w:rsidRDefault="009164E5" w:rsidP="00F31552">
      <w:pPr>
        <w:spacing w:line="360" w:lineRule="auto"/>
        <w:ind w:firstLineChars="200" w:firstLine="360"/>
        <w:rPr>
          <w:rFonts w:ascii="宋体" w:eastAsia="宋体" w:hAnsi="宋体" w:hint="eastAsia"/>
          <w:sz w:val="18"/>
          <w:szCs w:val="18"/>
        </w:rPr>
      </w:pPr>
      <w:r w:rsidRPr="00E954E0">
        <w:rPr>
          <w:rFonts w:ascii="宋体" w:eastAsia="宋体" w:hAnsi="宋体"/>
          <w:sz w:val="18"/>
          <w:szCs w:val="18"/>
        </w:rPr>
        <w:t>本文提出“从大陆政策到治安国家”的框架，并非要把战间期日本政策简化为两个阶段的线性替换，而是强调一种“秩序构想的重心漂移”：</w:t>
      </w:r>
    </w:p>
    <w:p w14:paraId="190197E0" w14:textId="77777777" w:rsidR="00F31552" w:rsidRDefault="00E57AA5" w:rsidP="00F31552">
      <w:pPr>
        <w:spacing w:line="360" w:lineRule="auto"/>
        <w:ind w:firstLineChars="200" w:firstLine="361"/>
        <w:rPr>
          <w:rFonts w:ascii="宋体" w:eastAsia="宋体" w:hAnsi="宋体" w:hint="eastAsia"/>
          <w:sz w:val="18"/>
          <w:szCs w:val="18"/>
        </w:rPr>
      </w:pPr>
      <w:r w:rsidRPr="00E954E0">
        <w:rPr>
          <w:rStyle w:val="af2"/>
          <w:rFonts w:ascii="宋体" w:eastAsia="宋体" w:hAnsi="宋体" w:hint="eastAsia"/>
          <w:sz w:val="18"/>
          <w:szCs w:val="18"/>
        </w:rPr>
        <w:t>“</w:t>
      </w:r>
      <w:r w:rsidRPr="00E954E0">
        <w:rPr>
          <w:rStyle w:val="af2"/>
          <w:rFonts w:ascii="宋体" w:eastAsia="宋体" w:hAnsi="宋体"/>
          <w:sz w:val="18"/>
          <w:szCs w:val="18"/>
        </w:rPr>
        <w:t>大陆政策</w:t>
      </w:r>
      <w:r w:rsidRPr="00E954E0">
        <w:rPr>
          <w:rStyle w:val="af2"/>
          <w:rFonts w:ascii="宋体" w:eastAsia="宋体" w:hAnsi="宋体" w:hint="eastAsia"/>
          <w:sz w:val="18"/>
          <w:szCs w:val="18"/>
        </w:rPr>
        <w:t>”</w:t>
      </w:r>
      <w:r w:rsidRPr="00E954E0">
        <w:rPr>
          <w:rFonts w:ascii="宋体" w:eastAsia="宋体" w:hAnsi="宋体"/>
          <w:sz w:val="18"/>
          <w:szCs w:val="18"/>
        </w:rPr>
        <w:t>在本文中指向一种以满蒙为关键空间、以资源与安全为核心议题、并尽可能在既有国际规范（如门户开放、机会均等）与协调外交语境中争取日本利益的秩序追求。它强调“在大陆获得可持续的安全与经济基础”，其语言往往以“治安”“稳定”“机会均等”呈现。</w:t>
      </w:r>
    </w:p>
    <w:p w14:paraId="3A3DC0C8" w14:textId="7E0B77D8" w:rsidR="00417EE1" w:rsidRPr="00E954E0" w:rsidRDefault="00E57AA5" w:rsidP="00F31552">
      <w:pPr>
        <w:spacing w:line="360" w:lineRule="auto"/>
        <w:ind w:firstLineChars="200" w:firstLine="361"/>
        <w:rPr>
          <w:rFonts w:ascii="宋体" w:eastAsia="宋体" w:hAnsi="宋体" w:hint="eastAsia"/>
          <w:sz w:val="18"/>
          <w:szCs w:val="18"/>
        </w:rPr>
      </w:pPr>
      <w:r w:rsidRPr="00E954E0">
        <w:rPr>
          <w:rStyle w:val="af2"/>
          <w:rFonts w:ascii="宋体" w:eastAsia="宋体" w:hAnsi="宋体" w:hint="eastAsia"/>
          <w:sz w:val="18"/>
          <w:szCs w:val="18"/>
        </w:rPr>
        <w:t>“</w:t>
      </w:r>
      <w:r w:rsidRPr="00E954E0">
        <w:rPr>
          <w:rStyle w:val="af2"/>
          <w:rFonts w:ascii="宋体" w:eastAsia="宋体" w:hAnsi="宋体"/>
          <w:sz w:val="18"/>
          <w:szCs w:val="18"/>
        </w:rPr>
        <w:t>治安国家</w:t>
      </w:r>
      <w:r w:rsidRPr="00E954E0">
        <w:rPr>
          <w:rStyle w:val="af2"/>
          <w:rFonts w:ascii="宋体" w:eastAsia="宋体" w:hAnsi="宋体" w:hint="eastAsia"/>
          <w:sz w:val="18"/>
          <w:szCs w:val="18"/>
        </w:rPr>
        <w:t>”</w:t>
      </w:r>
      <w:r w:rsidRPr="00E954E0">
        <w:rPr>
          <w:rFonts w:ascii="宋体" w:eastAsia="宋体" w:hAnsi="宋体"/>
          <w:sz w:val="18"/>
          <w:szCs w:val="18"/>
        </w:rPr>
        <w:t>则指向陆军在30年代后把“治安—统制—总动员”作为国家运行的首要目标，并将这种逻辑外推到占领地治理与东亚国际秩序设计中：对内通过法律与组织实现对社会的高压整合，对外则通过军事占领与政治改造塑造可控的区域秩序。它并不必然等同于单纯的“警察国家”概念，而更接近黑泽文贵所揭示的：陆军在总体战课题压力下，倾向于以“合法间接支配”方式扩张权限与统制社会（黑泽文贵，</w:t>
      </w:r>
      <w:r w:rsidRPr="00E954E0">
        <w:rPr>
          <w:rFonts w:ascii="宋体" w:eastAsia="宋体" w:hAnsi="宋体"/>
          <w:sz w:val="18"/>
          <w:szCs w:val="18"/>
        </w:rPr>
        <w:lastRenderedPageBreak/>
        <w:t>第384页）。</w:t>
      </w:r>
    </w:p>
    <w:p w14:paraId="790ED087" w14:textId="77777777" w:rsidR="00F31552" w:rsidRDefault="00417EE1" w:rsidP="00F31552">
      <w:pPr>
        <w:pStyle w:val="a9"/>
        <w:numPr>
          <w:ilvl w:val="0"/>
          <w:numId w:val="12"/>
        </w:numPr>
        <w:spacing w:line="360" w:lineRule="auto"/>
        <w:rPr>
          <w:rFonts w:ascii="宋体" w:eastAsia="宋体" w:hAnsi="宋体" w:hint="eastAsia"/>
          <w:sz w:val="18"/>
          <w:szCs w:val="18"/>
        </w:rPr>
      </w:pPr>
      <w:r w:rsidRPr="00E954E0">
        <w:rPr>
          <w:rFonts w:ascii="宋体" w:eastAsia="宋体" w:hAnsi="宋体"/>
          <w:sz w:val="18"/>
          <w:szCs w:val="18"/>
        </w:rPr>
        <w:t>总体战冲击与“秩序问题”的出现：从军事技术到国家形态</w:t>
      </w:r>
    </w:p>
    <w:p w14:paraId="4C8E8027" w14:textId="77777777" w:rsidR="00F31552" w:rsidRDefault="00417EE1" w:rsidP="00F31552">
      <w:pPr>
        <w:spacing w:line="360" w:lineRule="auto"/>
        <w:ind w:firstLineChars="200" w:firstLine="360"/>
        <w:rPr>
          <w:rFonts w:ascii="宋体" w:eastAsia="宋体" w:hAnsi="宋体" w:hint="eastAsia"/>
          <w:sz w:val="18"/>
          <w:szCs w:val="18"/>
        </w:rPr>
      </w:pPr>
      <w:r w:rsidRPr="00F31552">
        <w:rPr>
          <w:rFonts w:ascii="宋体" w:eastAsia="宋体" w:hAnsi="宋体"/>
          <w:sz w:val="18"/>
          <w:szCs w:val="18"/>
        </w:rPr>
        <w:t>黑泽文贵强调，总体战并非30年代才“降临”，而是第一次世界大战带来的结构性挑战。陆军（以及军部整体）在昭和法西斯主义时期主导总体战体制构筑，但总体战问题“原本因第一次世界大战而产生”，因此不能把其历史范围限定在30年代以后；一战结束后政党内阁设立国势院、资源局，表明总体战也同样是“大正民主时期”的课题（黑泽文贵，第53页）。</w:t>
      </w:r>
    </w:p>
    <w:p w14:paraId="5E4BC380" w14:textId="1B97E603" w:rsidR="00F31552" w:rsidRPr="00F31552" w:rsidRDefault="00417EE1" w:rsidP="00F31552">
      <w:pPr>
        <w:pStyle w:val="a9"/>
        <w:numPr>
          <w:ilvl w:val="0"/>
          <w:numId w:val="15"/>
        </w:numPr>
        <w:spacing w:line="360" w:lineRule="auto"/>
        <w:rPr>
          <w:rFonts w:ascii="宋体" w:eastAsia="宋体" w:hAnsi="宋体" w:hint="eastAsia"/>
          <w:sz w:val="18"/>
          <w:szCs w:val="18"/>
        </w:rPr>
      </w:pPr>
      <w:r w:rsidRPr="00F31552">
        <w:rPr>
          <w:rFonts w:ascii="宋体" w:eastAsia="宋体" w:hAnsi="宋体"/>
          <w:sz w:val="18"/>
          <w:szCs w:val="18"/>
        </w:rPr>
        <w:t>资源与自给自足圈：东亚秩序的经济前提</w:t>
      </w:r>
    </w:p>
    <w:p w14:paraId="0C6F3C82" w14:textId="77777777" w:rsidR="00F31552" w:rsidRDefault="00417EE1" w:rsidP="00F31552">
      <w:pPr>
        <w:spacing w:line="360" w:lineRule="auto"/>
        <w:ind w:firstLineChars="200" w:firstLine="360"/>
        <w:rPr>
          <w:rFonts w:ascii="宋体" w:eastAsia="宋体" w:hAnsi="宋体" w:hint="eastAsia"/>
          <w:sz w:val="18"/>
          <w:szCs w:val="18"/>
        </w:rPr>
      </w:pPr>
      <w:r w:rsidRPr="00F31552">
        <w:rPr>
          <w:rFonts w:ascii="宋体" w:eastAsia="宋体" w:hAnsi="宋体"/>
          <w:sz w:val="18"/>
          <w:szCs w:val="18"/>
        </w:rPr>
        <w:t>在陆军对总体战的理解中，最重要的转变之一，是“经济与军备关系”的认识变化：过去可用“军备带动经济”来为扩军辩护，但总体战迫使陆军承认“产业能力是维持、培育、增强军备的前提”，资源与生产力成为战争持续的根本（黑泽文贵，第55页）。因此，自给自足圈并非单纯的经济政策，而是总体战思维对外部空间的必然延伸：东亚（尤其满蒙）在陆军构想中被纳入“资源—工业—战争持续”的体系性链条之中。</w:t>
      </w:r>
    </w:p>
    <w:p w14:paraId="216BB930" w14:textId="77777777" w:rsidR="00F31552" w:rsidRDefault="00417EE1" w:rsidP="00F31552">
      <w:pPr>
        <w:spacing w:line="360" w:lineRule="auto"/>
        <w:ind w:firstLineChars="200" w:firstLine="360"/>
        <w:rPr>
          <w:rFonts w:hint="eastAsia"/>
          <w:sz w:val="18"/>
          <w:szCs w:val="18"/>
        </w:rPr>
      </w:pPr>
      <w:r w:rsidRPr="00F31552">
        <w:rPr>
          <w:rFonts w:ascii="宋体" w:eastAsia="宋体" w:hAnsi="宋体"/>
          <w:sz w:val="18"/>
          <w:szCs w:val="18"/>
        </w:rPr>
        <w:t>这种逻辑对于理解“大陆政策”非常关键：如果把满蒙视作总体战时代日本“必须</w:t>
      </w:r>
      <w:r w:rsidRPr="00F31552">
        <w:rPr>
          <w:rFonts w:ascii="宋体" w:eastAsia="宋体" w:hAnsi="宋体" w:hint="eastAsia"/>
          <w:sz w:val="18"/>
          <w:szCs w:val="18"/>
        </w:rPr>
        <w:t>确保的后方</w:t>
      </w:r>
      <w:r w:rsidRPr="00F31552">
        <w:rPr>
          <w:rFonts w:ascii="宋体" w:eastAsia="宋体" w:hAnsi="宋体"/>
          <w:sz w:val="18"/>
          <w:szCs w:val="18"/>
        </w:rPr>
        <w:t>”，那么所谓东亚秩序就不再只是外交上的势力范围划分，而是“资源与生产体系如何被组织进国防结构”的问题。也正因此，陆军的秩序构想天然带有强烈的“统制”倾向：它关心的不仅是边界安全，更是生产、运输、金融与人口动员能否在战时被纳入统一指挥。</w:t>
      </w:r>
      <w:r w:rsidR="00E954E0" w:rsidRPr="00F31552">
        <w:rPr>
          <w:rFonts w:ascii="宋体" w:eastAsia="宋体" w:hAnsi="宋体"/>
          <w:sz w:val="18"/>
          <w:szCs w:val="18"/>
        </w:rPr>
        <w:br/>
      </w:r>
      <w:r w:rsidR="00E9084C" w:rsidRPr="00F31552">
        <w:rPr>
          <w:rFonts w:hint="eastAsia"/>
          <w:sz w:val="18"/>
          <w:szCs w:val="18"/>
        </w:rPr>
        <w:t>（二）</w:t>
      </w:r>
      <w:r w:rsidRPr="00F31552">
        <w:rPr>
          <w:rFonts w:ascii="宋体" w:eastAsia="宋体" w:hAnsi="宋体"/>
          <w:sz w:val="18"/>
          <w:szCs w:val="18"/>
        </w:rPr>
        <w:t>军政关系：从宪法结构到“政治与军事互渗”</w:t>
      </w:r>
    </w:p>
    <w:p w14:paraId="59E70F26" w14:textId="77777777" w:rsidR="00F31552" w:rsidRDefault="00417EE1" w:rsidP="00F31552">
      <w:pPr>
        <w:spacing w:line="360" w:lineRule="auto"/>
        <w:ind w:firstLineChars="200" w:firstLine="360"/>
        <w:rPr>
          <w:rFonts w:hint="eastAsia"/>
          <w:sz w:val="18"/>
          <w:szCs w:val="18"/>
        </w:rPr>
      </w:pPr>
      <w:r w:rsidRPr="00F31552">
        <w:rPr>
          <w:rFonts w:ascii="宋体" w:eastAsia="宋体" w:hAnsi="宋体"/>
          <w:sz w:val="18"/>
          <w:szCs w:val="18"/>
        </w:rPr>
        <w:t>黑泽文贵指出，总体战时代“全部资源被动员”，政治与军事相互渗透，军政关系（尤其领导权问题）在承认统帅权独立的明治宪法结构下再次成为尖锐议题（黑泽文贵，第61页）。这意味着，东亚秩序构想并不可能只停留在“对外战略”，它必然回过头来改造国内政治运行方式：为了实现对外扩张或对外稳定，陆军需要一种能够把财政、产业、舆论、治安、外交协商乃至殖民地治理打通的国家能力。</w:t>
      </w:r>
    </w:p>
    <w:p w14:paraId="2255361F" w14:textId="77777777" w:rsidR="00F31552" w:rsidRDefault="00417EE1" w:rsidP="00F31552">
      <w:pPr>
        <w:spacing w:line="360" w:lineRule="auto"/>
        <w:ind w:firstLineChars="200" w:firstLine="360"/>
        <w:rPr>
          <w:rFonts w:hint="eastAsia"/>
          <w:sz w:val="18"/>
          <w:szCs w:val="18"/>
        </w:rPr>
      </w:pPr>
      <w:r w:rsidRPr="00F31552">
        <w:rPr>
          <w:rFonts w:ascii="宋体" w:eastAsia="宋体" w:hAnsi="宋体"/>
          <w:sz w:val="18"/>
          <w:szCs w:val="18"/>
        </w:rPr>
        <w:t>从这里出发，我们就能理解“治安国家”何以成为可能：当总体战要求国家把社会作为战争资源加以管理时，“治安”就不再是传统意义的警务问题，而成为政治秩序的首要条件与动员体制的前门槛。</w:t>
      </w:r>
      <w:r w:rsidR="00E9084C" w:rsidRPr="00F31552">
        <w:rPr>
          <w:sz w:val="18"/>
          <w:szCs w:val="18"/>
        </w:rPr>
        <w:br/>
      </w:r>
      <w:r w:rsidR="00036DAC" w:rsidRPr="00F31552">
        <w:rPr>
          <w:rFonts w:ascii="宋体" w:eastAsia="宋体" w:hAnsi="宋体"/>
          <w:sz w:val="18"/>
          <w:szCs w:val="18"/>
        </w:rPr>
        <w:t>二、“1925年体制”与20年代的“大陆政策”：以满洲“治安维持”为核心的稳定秩序</w:t>
      </w:r>
    </w:p>
    <w:p w14:paraId="41E776A9" w14:textId="77777777" w:rsidR="00F31552" w:rsidRDefault="005D5B3C" w:rsidP="00F31552">
      <w:pPr>
        <w:spacing w:line="360" w:lineRule="auto"/>
        <w:ind w:firstLineChars="200" w:firstLine="360"/>
        <w:rPr>
          <w:rFonts w:hint="eastAsia"/>
          <w:sz w:val="18"/>
          <w:szCs w:val="18"/>
        </w:rPr>
      </w:pPr>
      <w:r w:rsidRPr="00F31552">
        <w:rPr>
          <w:rFonts w:ascii="宋体" w:eastAsia="宋体" w:hAnsi="宋体"/>
          <w:sz w:val="18"/>
          <w:szCs w:val="18"/>
        </w:rPr>
        <w:t>黑泽文贵在第九章提出极富解释力的概念——“1925年体制”。他认为，20年代田中义一与宇垣一成意图与政党政治建立密切合作，以解决总体战体制构筑所需的内外重组课题，其重点就是构筑“1925年体制”（黑泽文贵，第379页）。这一体制的关键在于</w:t>
      </w:r>
      <w:r w:rsidRPr="00F31552">
        <w:rPr>
          <w:rFonts w:ascii="宋体" w:eastAsia="宋体" w:hAnsi="宋体" w:hint="eastAsia"/>
          <w:sz w:val="18"/>
          <w:szCs w:val="18"/>
        </w:rPr>
        <w:t>：</w:t>
      </w:r>
      <w:r w:rsidRPr="00F31552">
        <w:rPr>
          <w:rStyle w:val="af2"/>
          <w:rFonts w:ascii="宋体" w:eastAsia="宋体" w:hAnsi="宋体"/>
          <w:b w:val="0"/>
          <w:bCs w:val="0"/>
          <w:sz w:val="18"/>
          <w:szCs w:val="18"/>
        </w:rPr>
        <w:t>国内</w:t>
      </w:r>
      <w:r w:rsidRPr="00F31552">
        <w:rPr>
          <w:rFonts w:ascii="宋体" w:eastAsia="宋体" w:hAnsi="宋体"/>
          <w:sz w:val="18"/>
          <w:szCs w:val="18"/>
        </w:rPr>
        <w:t>通过政党政治与制度安排（如普通选举法与治安维持法）形成新的政治整合机制；</w:t>
      </w:r>
      <w:r w:rsidRPr="00F31552">
        <w:rPr>
          <w:rStyle w:val="af2"/>
          <w:rFonts w:ascii="宋体" w:eastAsia="宋体" w:hAnsi="宋体"/>
          <w:b w:val="0"/>
          <w:bCs w:val="0"/>
          <w:sz w:val="18"/>
          <w:szCs w:val="18"/>
        </w:rPr>
        <w:t>对外</w:t>
      </w:r>
      <w:r w:rsidRPr="00F31552">
        <w:rPr>
          <w:rFonts w:ascii="宋体" w:eastAsia="宋体" w:hAnsi="宋体"/>
          <w:sz w:val="18"/>
          <w:szCs w:val="18"/>
        </w:rPr>
        <w:t>以华盛顿体系（日英美协调）与日中苏合作关系，共同构筑“东亚国际秩序稳定体制”（黑泽文贵，第379页）。</w:t>
      </w:r>
      <w:r w:rsidR="0063333E" w:rsidRPr="00F31552">
        <w:rPr>
          <w:rFonts w:ascii="宋体" w:eastAsia="宋体" w:hAnsi="宋体" w:hint="eastAsia"/>
          <w:sz w:val="18"/>
          <w:szCs w:val="18"/>
        </w:rPr>
        <w:t>由此可以推断</w:t>
      </w:r>
      <w:r w:rsidR="00FD7062" w:rsidRPr="00F31552">
        <w:rPr>
          <w:rFonts w:ascii="宋体" w:eastAsia="宋体" w:hAnsi="宋体" w:hint="eastAsia"/>
          <w:sz w:val="18"/>
          <w:szCs w:val="18"/>
        </w:rPr>
        <w:t>，</w:t>
      </w:r>
      <w:r w:rsidR="0063333E" w:rsidRPr="00F31552">
        <w:rPr>
          <w:rFonts w:ascii="宋体" w:eastAsia="宋体" w:hAnsi="宋体"/>
          <w:sz w:val="18"/>
          <w:szCs w:val="18"/>
        </w:rPr>
        <w:t>至少在20年代的某个时段，陆军并不必然反对“国际协调”，反而试图把国际协调嵌入日本自身的总体战准备；而其对东亚秩序的想象，也并非只</w:t>
      </w:r>
      <w:r w:rsidR="0063333E" w:rsidRPr="00F31552">
        <w:rPr>
          <w:rFonts w:ascii="宋体" w:eastAsia="宋体" w:hAnsi="宋体"/>
          <w:sz w:val="18"/>
          <w:szCs w:val="18"/>
        </w:rPr>
        <w:lastRenderedPageBreak/>
        <w:t>能靠赤裸扩张实现，而是能够与“稳定”“机会均等”等语言共处。</w:t>
      </w:r>
      <w:r w:rsidR="00E9084C" w:rsidRPr="00F31552">
        <w:rPr>
          <w:sz w:val="18"/>
          <w:szCs w:val="18"/>
        </w:rPr>
        <w:br/>
      </w:r>
      <w:r w:rsidR="00CE03ED" w:rsidRPr="00F31552">
        <w:rPr>
          <w:rFonts w:ascii="宋体" w:eastAsia="宋体" w:hAnsi="宋体" w:hint="eastAsia"/>
          <w:sz w:val="18"/>
          <w:szCs w:val="18"/>
        </w:rPr>
        <w:t>（一）</w:t>
      </w:r>
      <w:r w:rsidR="00EA3BFB" w:rsidRPr="00F31552">
        <w:rPr>
          <w:rFonts w:ascii="宋体" w:eastAsia="宋体" w:hAnsi="宋体"/>
          <w:sz w:val="18"/>
          <w:szCs w:val="18"/>
        </w:rPr>
        <w:t>田中义一论满洲：把“治安”作为秩序正当性</w:t>
      </w:r>
    </w:p>
    <w:p w14:paraId="706CCDE3" w14:textId="77777777" w:rsidR="00F31552" w:rsidRDefault="0023015A" w:rsidP="00F31552">
      <w:pPr>
        <w:spacing w:line="360" w:lineRule="auto"/>
        <w:ind w:firstLineChars="200" w:firstLine="360"/>
        <w:rPr>
          <w:rFonts w:hint="eastAsia"/>
          <w:sz w:val="18"/>
          <w:szCs w:val="18"/>
        </w:rPr>
      </w:pPr>
      <w:r w:rsidRPr="00F31552">
        <w:rPr>
          <w:rFonts w:ascii="宋体" w:eastAsia="宋体" w:hAnsi="宋体"/>
          <w:sz w:val="18"/>
          <w:szCs w:val="18"/>
        </w:rPr>
        <w:t>在第七章相关论述中，田中义一谈日苏关系与满洲问题时，明确把满洲“治安得以维持”视为日本“对满洲的希望”，并主张日俄两国在满洲经济活动应依“门户开放、机会均等”原则，抛弃“势力范围等旧思想”，转而以“共存共荣”协作（黑泽文贵，第326页）。这里可以看到“大陆政策”的典型表达方式</w:t>
      </w:r>
      <w:r w:rsidRPr="00F31552">
        <w:rPr>
          <w:rFonts w:ascii="宋体" w:eastAsia="宋体" w:hAnsi="宋体" w:hint="eastAsia"/>
          <w:sz w:val="18"/>
          <w:szCs w:val="18"/>
        </w:rPr>
        <w:t>：</w:t>
      </w:r>
      <w:r w:rsidRPr="00F31552">
        <w:rPr>
          <w:rFonts w:ascii="宋体" w:eastAsia="宋体" w:hAnsi="宋体"/>
          <w:sz w:val="18"/>
          <w:szCs w:val="18"/>
        </w:rPr>
        <w:t>以“治安”作为日本在满洲存在的核心理由；以“门户开放/机会均等”的国际规范语言包装经济利益与安全诉求；在外交上尝试将满洲塑造成“政治利益不冲突”的合作空间，从而降低大国对抗风险。</w:t>
      </w:r>
    </w:p>
    <w:p w14:paraId="2532C85C" w14:textId="77777777" w:rsidR="00F31552" w:rsidRDefault="00CC0014" w:rsidP="00F31552">
      <w:pPr>
        <w:spacing w:line="360" w:lineRule="auto"/>
        <w:ind w:firstLineChars="200" w:firstLine="360"/>
        <w:rPr>
          <w:rFonts w:hint="eastAsia"/>
          <w:sz w:val="18"/>
          <w:szCs w:val="18"/>
        </w:rPr>
      </w:pPr>
      <w:r w:rsidRPr="00F31552">
        <w:rPr>
          <w:rFonts w:ascii="宋体" w:eastAsia="宋体" w:hAnsi="宋体"/>
          <w:sz w:val="18"/>
          <w:szCs w:val="18"/>
        </w:rPr>
        <w:t>如果将其置于中美关系与东亚格局的视角，这种语言尤其值得注意：它既承接了美国长期倡导的“开放门户”话语，又在实践中服务于日本在满洲的既得利益与扩张空间。换言之，20年代的秩序构想并非反美式规范的彻底否定，而是对其“工具化借用”。</w:t>
      </w:r>
      <w:r w:rsidR="00E9084C" w:rsidRPr="00F31552">
        <w:rPr>
          <w:sz w:val="18"/>
          <w:szCs w:val="18"/>
        </w:rPr>
        <w:br/>
      </w:r>
      <w:r w:rsidR="00CE03ED" w:rsidRPr="00F31552">
        <w:rPr>
          <w:rFonts w:ascii="宋体" w:eastAsia="宋体" w:hAnsi="宋体" w:hint="eastAsia"/>
          <w:sz w:val="18"/>
          <w:szCs w:val="18"/>
        </w:rPr>
        <w:t>（二）</w:t>
      </w:r>
      <w:r w:rsidR="0023015A" w:rsidRPr="00F31552">
        <w:rPr>
          <w:rFonts w:ascii="宋体" w:eastAsia="宋体" w:hAnsi="宋体"/>
          <w:sz w:val="18"/>
          <w:szCs w:val="18"/>
        </w:rPr>
        <w:t>“治安维持法”与国内秩序：对外稳定与对内压制的并存</w:t>
      </w:r>
    </w:p>
    <w:p w14:paraId="65C45A05" w14:textId="77777777" w:rsidR="00F31552" w:rsidRDefault="00CC0014" w:rsidP="00F31552">
      <w:pPr>
        <w:spacing w:line="360" w:lineRule="auto"/>
        <w:ind w:firstLineChars="200" w:firstLine="360"/>
        <w:rPr>
          <w:rFonts w:hint="eastAsia"/>
          <w:sz w:val="18"/>
          <w:szCs w:val="18"/>
        </w:rPr>
      </w:pPr>
      <w:r w:rsidRPr="00F31552">
        <w:rPr>
          <w:rFonts w:ascii="宋体" w:eastAsia="宋体" w:hAnsi="宋体"/>
          <w:sz w:val="18"/>
          <w:szCs w:val="18"/>
        </w:rPr>
        <w:t>“1925年体制”之所以能被视为“稳定秩序”，恰在于它把“参与”与“压制”结合：普通选举法提供了政治动员与整合的新渠道，治安维持法则提供了对激进思想与社会运动的压制机制（黑泽文贵，第379页）。因此，20年代陆军的“大陆政策”并不意味着对内宽松——相反，它依赖对内“治安化”的制度建设来保证对外战略的可执行性。</w:t>
      </w:r>
    </w:p>
    <w:p w14:paraId="5D718620" w14:textId="77777777" w:rsidR="00F31552" w:rsidRDefault="00CC0014" w:rsidP="00F31552">
      <w:pPr>
        <w:spacing w:line="360" w:lineRule="auto"/>
        <w:ind w:firstLineChars="200" w:firstLine="360"/>
        <w:rPr>
          <w:rFonts w:hint="eastAsia"/>
          <w:sz w:val="18"/>
          <w:szCs w:val="18"/>
        </w:rPr>
      </w:pPr>
      <w:r w:rsidRPr="00F31552">
        <w:rPr>
          <w:rFonts w:ascii="宋体" w:eastAsia="宋体" w:hAnsi="宋体"/>
          <w:sz w:val="18"/>
          <w:szCs w:val="18"/>
        </w:rPr>
        <w:t>这为“治安国家”的形成埋下伏笔：当国际协调与政党政治无法再提供稳定时，陆军更倾向把“治安”从一种政策工具提升为国家存在的首要目标。</w:t>
      </w:r>
      <w:r w:rsidR="00E9084C" w:rsidRPr="00F31552">
        <w:rPr>
          <w:sz w:val="18"/>
          <w:szCs w:val="18"/>
        </w:rPr>
        <w:br/>
      </w:r>
      <w:r w:rsidR="004D2B47" w:rsidRPr="00F31552">
        <w:rPr>
          <w:rFonts w:ascii="宋体" w:eastAsia="宋体" w:hAnsi="宋体" w:hint="eastAsia"/>
          <w:sz w:val="18"/>
          <w:szCs w:val="18"/>
        </w:rPr>
        <w:t>三、</w:t>
      </w:r>
      <w:r w:rsidRPr="00F31552">
        <w:rPr>
          <w:rFonts w:ascii="宋体" w:eastAsia="宋体" w:hAnsi="宋体"/>
          <w:sz w:val="18"/>
          <w:szCs w:val="18"/>
        </w:rPr>
        <w:t>危机与转向：从“稳定体制”到“先外后内”，秩序构想的军化与治安化</w:t>
      </w:r>
    </w:p>
    <w:p w14:paraId="09273AB3" w14:textId="77777777" w:rsidR="00F31552" w:rsidRDefault="004414BF" w:rsidP="00F31552">
      <w:pPr>
        <w:spacing w:line="360" w:lineRule="auto"/>
        <w:ind w:firstLineChars="200" w:firstLine="360"/>
        <w:rPr>
          <w:rFonts w:hint="eastAsia"/>
          <w:sz w:val="18"/>
          <w:szCs w:val="18"/>
        </w:rPr>
      </w:pPr>
      <w:r w:rsidRPr="00F31552">
        <w:rPr>
          <w:rFonts w:ascii="宋体" w:eastAsia="宋体" w:hAnsi="宋体"/>
          <w:sz w:val="18"/>
          <w:szCs w:val="18"/>
        </w:rPr>
        <w:t>进入30年代，东亚秩序的关键矛盾在于：既有稳定机制（华盛顿体系、日中苏协调、国内政党政治）开始失灵，而陆军内部新一代军官群体崛起，推动更激进的路线。黑泽文贵指出，反对田中—宇垣路线的新兴势力逐渐抬头，他们以一战为“战争体验原点”，在昭和初期通过集会讨论国防问题并形成影响（黑泽文贵，第379页）。这意味着秩序构想的知识基础也发生变化：从“协调与制度化稳定”转向“总体战条件下的强制整合”。</w:t>
      </w:r>
      <w:r w:rsidR="00E9084C" w:rsidRPr="00F31552">
        <w:rPr>
          <w:sz w:val="18"/>
          <w:szCs w:val="18"/>
        </w:rPr>
        <w:br/>
      </w:r>
      <w:r w:rsidR="005021DE" w:rsidRPr="00F31552">
        <w:rPr>
          <w:rFonts w:ascii="宋体" w:eastAsia="宋体" w:hAnsi="宋体" w:hint="eastAsia"/>
          <w:sz w:val="18"/>
          <w:szCs w:val="18"/>
        </w:rPr>
        <w:t>（一）</w:t>
      </w:r>
      <w:r w:rsidRPr="00F31552">
        <w:rPr>
          <w:rFonts w:ascii="宋体" w:eastAsia="宋体" w:hAnsi="宋体"/>
          <w:sz w:val="18"/>
          <w:szCs w:val="18"/>
        </w:rPr>
        <w:t>从“先内后外”到“先外后内”：满洲危机与殖民地统治焦虑</w:t>
      </w:r>
    </w:p>
    <w:p w14:paraId="547785FD" w14:textId="77777777" w:rsidR="00F31552" w:rsidRDefault="00B73BDD" w:rsidP="00F31552">
      <w:pPr>
        <w:spacing w:line="360" w:lineRule="auto"/>
        <w:ind w:firstLineChars="200" w:firstLine="360"/>
        <w:rPr>
          <w:rFonts w:hint="eastAsia"/>
          <w:sz w:val="18"/>
          <w:szCs w:val="18"/>
        </w:rPr>
      </w:pPr>
      <w:r w:rsidRPr="00F31552">
        <w:rPr>
          <w:rFonts w:ascii="宋体" w:eastAsia="宋体" w:hAnsi="宋体" w:hint="eastAsia"/>
          <w:sz w:val="18"/>
          <w:szCs w:val="18"/>
        </w:rPr>
        <w:t>在第八章中，作者梳理了陆军“革新”派在军政与关东军关键岗位的推进，并指出“三月事件”所体现的路线变化，即从“先内后外”主义向“先外后内”主义转变（黑泽文贵，第353页）。这不仅是政策顺序的调整，更是秩序观的改变：“先内后外”仍承认国内政治改造与外部政策之间的节奏；“先外后内”则把对外军事行动本身视为打开国内改造空间的杠杆。</w:t>
      </w:r>
    </w:p>
    <w:p w14:paraId="4DF274B7" w14:textId="77777777" w:rsidR="00F31552" w:rsidRDefault="00B73BDD" w:rsidP="00F31552">
      <w:pPr>
        <w:spacing w:line="360" w:lineRule="auto"/>
        <w:ind w:firstLineChars="200" w:firstLine="360"/>
        <w:rPr>
          <w:rFonts w:hint="eastAsia"/>
          <w:sz w:val="18"/>
          <w:szCs w:val="18"/>
        </w:rPr>
      </w:pPr>
      <w:r w:rsidRPr="00F31552">
        <w:rPr>
          <w:rFonts w:ascii="宋体" w:eastAsia="宋体" w:hAnsi="宋体" w:hint="eastAsia"/>
          <w:sz w:val="18"/>
          <w:szCs w:val="18"/>
        </w:rPr>
        <w:t>在同章对间岛暴动、雾社事件等的叙述中，黑泽文贵强调这些事件加深了日本对殖民地统治危机的感受，并使“统治满洲”被想象为维护朝鲜统治的“必由之路”（黑泽文贵，第356页）。这说明：所谓“大</w:t>
      </w:r>
      <w:r w:rsidRPr="00F31552">
        <w:rPr>
          <w:rFonts w:ascii="宋体" w:eastAsia="宋体" w:hAnsi="宋体" w:hint="eastAsia"/>
          <w:sz w:val="18"/>
          <w:szCs w:val="18"/>
        </w:rPr>
        <w:lastRenderedPageBreak/>
        <w:t>陆政策”并非单纯对外扩张，而是帝国统治链条上的治安逻辑外溢——满洲被当作解决殖民秩序不稳、民族运动高涨的“治安缓冲区”。</w:t>
      </w:r>
      <w:r w:rsidR="00E9084C" w:rsidRPr="00F31552">
        <w:rPr>
          <w:sz w:val="18"/>
          <w:szCs w:val="18"/>
        </w:rPr>
        <w:br/>
      </w:r>
      <w:r w:rsidR="005021DE" w:rsidRPr="00F31552">
        <w:rPr>
          <w:rFonts w:ascii="宋体" w:eastAsia="宋体" w:hAnsi="宋体" w:hint="eastAsia"/>
          <w:sz w:val="18"/>
          <w:szCs w:val="18"/>
        </w:rPr>
        <w:t>（二）</w:t>
      </w:r>
      <w:r w:rsidR="00134D95" w:rsidRPr="00F31552">
        <w:rPr>
          <w:rFonts w:ascii="宋体" w:eastAsia="宋体" w:hAnsi="宋体"/>
          <w:sz w:val="18"/>
          <w:szCs w:val="18"/>
        </w:rPr>
        <w:t>“武力解决满蒙”与国内政治的再塑形</w:t>
      </w:r>
    </w:p>
    <w:p w14:paraId="40598DB1" w14:textId="77777777" w:rsidR="00F31552" w:rsidRDefault="00B73BDD" w:rsidP="00F31552">
      <w:pPr>
        <w:spacing w:line="360" w:lineRule="auto"/>
        <w:ind w:firstLineChars="200" w:firstLine="360"/>
        <w:rPr>
          <w:rFonts w:hint="eastAsia"/>
          <w:sz w:val="18"/>
          <w:szCs w:val="18"/>
        </w:rPr>
      </w:pPr>
      <w:r w:rsidRPr="00F31552">
        <w:rPr>
          <w:rFonts w:ascii="宋体" w:eastAsia="宋体" w:hAnsi="宋体"/>
          <w:sz w:val="18"/>
          <w:szCs w:val="18"/>
        </w:rPr>
        <w:t>第八章进一步指出，要求与中国“共存共荣”的和平解决设想在排日运动与局势恶化中不断受挫，关东军“伺到了动武时机”，并将“武力解决满蒙问题”与军制改革、国内政治方案相联系（黑泽文贵，第360页）。在这里，秩序构想彻底军事化：对外不再主要依靠协调与制度安排，而是依靠军事行动制造既成事实；而对内则通过改造军政结构来保证对外行动的持续。</w:t>
      </w:r>
      <w:r w:rsidR="00E9084C" w:rsidRPr="00F31552">
        <w:rPr>
          <w:sz w:val="18"/>
          <w:szCs w:val="18"/>
        </w:rPr>
        <w:br/>
      </w:r>
      <w:r w:rsidR="004D2B47" w:rsidRPr="00F31552">
        <w:rPr>
          <w:rFonts w:ascii="宋体" w:eastAsia="宋体" w:hAnsi="宋体" w:hint="eastAsia"/>
          <w:sz w:val="18"/>
          <w:szCs w:val="18"/>
        </w:rPr>
        <w:t>四、</w:t>
      </w:r>
      <w:r w:rsidR="004D2B47" w:rsidRPr="00F31552">
        <w:rPr>
          <w:rFonts w:ascii="宋体" w:eastAsia="宋体" w:hAnsi="宋体"/>
          <w:sz w:val="18"/>
          <w:szCs w:val="18"/>
        </w:rPr>
        <w:t>“侵略满蒙”与“改造国家”：走向“治安国家”的内外一体化</w:t>
      </w:r>
    </w:p>
    <w:p w14:paraId="6494D732" w14:textId="77777777" w:rsidR="00F31552" w:rsidRDefault="004D2B47" w:rsidP="00F31552">
      <w:pPr>
        <w:spacing w:line="360" w:lineRule="auto"/>
        <w:ind w:firstLineChars="200" w:firstLine="360"/>
        <w:rPr>
          <w:rFonts w:hint="eastAsia"/>
          <w:sz w:val="18"/>
          <w:szCs w:val="18"/>
        </w:rPr>
      </w:pPr>
      <w:r w:rsidRPr="00F31552">
        <w:rPr>
          <w:rFonts w:ascii="宋体" w:eastAsia="宋体" w:hAnsi="宋体"/>
          <w:sz w:val="18"/>
          <w:szCs w:val="18"/>
        </w:rPr>
        <w:t>如果说20年代的大陆政策仍可在“稳定体制”的话语下运作，那么30年代的转向则把“治安”提升为一种国家原则：对外通过占领与政治改造建立可控空间，对内通过统制与动员建立可控社会。</w:t>
      </w:r>
      <w:r w:rsidR="00E9084C" w:rsidRPr="00F31552">
        <w:rPr>
          <w:sz w:val="18"/>
          <w:szCs w:val="18"/>
        </w:rPr>
        <w:br/>
      </w:r>
      <w:r w:rsidR="002A2102" w:rsidRPr="00F31552">
        <w:rPr>
          <w:rFonts w:ascii="宋体" w:eastAsia="宋体" w:hAnsi="宋体" w:hint="eastAsia"/>
          <w:sz w:val="18"/>
          <w:szCs w:val="18"/>
        </w:rPr>
        <w:t>（一）</w:t>
      </w:r>
      <w:r w:rsidR="001D77D9" w:rsidRPr="00F31552">
        <w:rPr>
          <w:rFonts w:ascii="宋体" w:eastAsia="宋体" w:hAnsi="宋体"/>
          <w:sz w:val="18"/>
          <w:szCs w:val="18"/>
        </w:rPr>
        <w:t>互为表里：对外侵略作为对内改造的手段</w:t>
      </w:r>
    </w:p>
    <w:p w14:paraId="15E065EE" w14:textId="77777777" w:rsidR="00F31552" w:rsidRDefault="00E60B04" w:rsidP="00F31552">
      <w:pPr>
        <w:spacing w:line="360" w:lineRule="auto"/>
        <w:ind w:firstLineChars="200" w:firstLine="360"/>
        <w:rPr>
          <w:rFonts w:hint="eastAsia"/>
          <w:sz w:val="18"/>
          <w:szCs w:val="18"/>
        </w:rPr>
      </w:pPr>
      <w:r w:rsidRPr="00F31552">
        <w:rPr>
          <w:rFonts w:ascii="宋体" w:eastAsia="宋体" w:hAnsi="宋体"/>
          <w:sz w:val="18"/>
          <w:szCs w:val="18"/>
        </w:rPr>
        <w:t>黑泽文贵明确指出，书中所见多份文书证明陆军内部广泛存在一种认识：**“在满洲采取军事行动”与“对持反对意见的政府进行武力颠覆的计划”**是相互关联的；“侵略满蒙与改造国家互为表里”，满洲事变与十月事件是这种意识的体现（黑泽文贵，第367页）。更重要的是，作者总结道：陆军以满洲事变与十月事件造成的“震动”为武器，开始朝着创建内外新体制（总体战体制）前进，以替代一战后逐渐形成的内外秩序体系——“1925年体制”（黑泽文贵，第367页）。</w:t>
      </w:r>
    </w:p>
    <w:p w14:paraId="11466B9B" w14:textId="77777777" w:rsidR="00F31552" w:rsidRDefault="00E60B04" w:rsidP="00F31552">
      <w:pPr>
        <w:spacing w:line="360" w:lineRule="auto"/>
        <w:ind w:firstLineChars="200" w:firstLine="360"/>
        <w:rPr>
          <w:rFonts w:hint="eastAsia"/>
          <w:sz w:val="18"/>
          <w:szCs w:val="18"/>
        </w:rPr>
      </w:pPr>
      <w:r w:rsidRPr="00F31552">
        <w:rPr>
          <w:rFonts w:ascii="宋体" w:eastAsia="宋体" w:hAnsi="宋体"/>
          <w:sz w:val="18"/>
          <w:szCs w:val="18"/>
        </w:rPr>
        <w:t>这一段几乎可以视为“从大陆政策到治安国家”的理论枢纽：当陆军把对外行动变为“制造震动”的政治技术，它追求的就不再是某个区域的利益最大化，而是以战争与危机为发动机的体制转型。东亚秩序构想因此从“稳定”转向“可控”：通过建立一个以军为轴心、以治安为前提、以动员为目标的国家形态，来反向塑造区域秩序。</w:t>
      </w:r>
      <w:r w:rsidR="00F83598" w:rsidRPr="00F31552">
        <w:rPr>
          <w:sz w:val="18"/>
          <w:szCs w:val="18"/>
        </w:rPr>
        <w:br/>
      </w:r>
      <w:r w:rsidR="00D71E05" w:rsidRPr="00F31552">
        <w:rPr>
          <w:rFonts w:ascii="宋体" w:eastAsia="宋体" w:hAnsi="宋体" w:hint="eastAsia"/>
          <w:sz w:val="18"/>
          <w:szCs w:val="18"/>
        </w:rPr>
        <w:t>（二）</w:t>
      </w:r>
      <w:r w:rsidRPr="00F31552">
        <w:rPr>
          <w:rFonts w:ascii="宋体" w:eastAsia="宋体" w:hAnsi="宋体"/>
          <w:sz w:val="18"/>
          <w:szCs w:val="18"/>
        </w:rPr>
        <w:t>“1925年体制”的崩溃与“合法间接支配”：治安国家的制度逻辑</w:t>
      </w:r>
    </w:p>
    <w:p w14:paraId="4910D40F" w14:textId="77777777" w:rsidR="00F31552" w:rsidRDefault="00E60B04" w:rsidP="00F31552">
      <w:pPr>
        <w:spacing w:line="360" w:lineRule="auto"/>
        <w:ind w:firstLineChars="200" w:firstLine="360"/>
        <w:rPr>
          <w:rFonts w:hint="eastAsia"/>
          <w:sz w:val="18"/>
          <w:szCs w:val="18"/>
        </w:rPr>
      </w:pPr>
      <w:r w:rsidRPr="00F31552">
        <w:rPr>
          <w:rFonts w:ascii="宋体" w:eastAsia="宋体" w:hAnsi="宋体"/>
          <w:sz w:val="18"/>
          <w:szCs w:val="18"/>
        </w:rPr>
        <w:t>在第九章对“1925年体制”崩溃的分析中，黑泽文贵强调二二六事件带来的政治与军事实震动：皇道派与旧主流将官被“肃军人事”清除，中坚幕僚层影响力骤增；政治方面，陆军以组织整体形式干政的倾向增强（黑泽文贵，第384页）。但作者同时提醒：陆军对政治的支配并非必然走向公开独裁，而往往停留在“通过现存政治体制进行合法间接支配”的方式（黑泽文贵，第384页）。</w:t>
      </w:r>
    </w:p>
    <w:p w14:paraId="29EDFABC" w14:textId="77777777" w:rsidR="00F31552" w:rsidRDefault="00E60B04" w:rsidP="00F31552">
      <w:pPr>
        <w:spacing w:line="360" w:lineRule="auto"/>
        <w:ind w:firstLineChars="200" w:firstLine="360"/>
        <w:rPr>
          <w:rFonts w:hint="eastAsia"/>
          <w:sz w:val="18"/>
          <w:szCs w:val="18"/>
        </w:rPr>
      </w:pPr>
      <w:r w:rsidRPr="00F31552">
        <w:rPr>
          <w:rFonts w:ascii="宋体" w:eastAsia="宋体" w:hAnsi="宋体"/>
          <w:sz w:val="18"/>
          <w:szCs w:val="18"/>
        </w:rPr>
        <w:t>这一点对于“治安国家”概念至关重要：它意味着陆军并不一定需要彻底废弃宪法体制，也能以“国防”“总体战”等概念不断扩大固有权限，把治安、动员与统制合理化、常态化。换言之，“治安国家”不只是警力或法令的强化，更是政治权力结构在总体战语境下的再分配：以“安全/国防”的名义，把社会与政治纳入可被军事化治理的对象。</w:t>
      </w:r>
      <w:r w:rsidR="00E954E0" w:rsidRPr="00F31552">
        <w:rPr>
          <w:sz w:val="18"/>
          <w:szCs w:val="18"/>
        </w:rPr>
        <w:br/>
      </w:r>
      <w:r w:rsidR="002744A9" w:rsidRPr="00F31552">
        <w:rPr>
          <w:rFonts w:ascii="宋体" w:eastAsia="宋体" w:hAnsi="宋体"/>
          <w:b/>
          <w:bCs/>
          <w:sz w:val="18"/>
          <w:szCs w:val="18"/>
        </w:rPr>
        <w:t>结论</w:t>
      </w:r>
      <w:r w:rsidR="002744A9" w:rsidRPr="00F31552">
        <w:rPr>
          <w:rFonts w:ascii="宋体" w:eastAsia="宋体" w:hAnsi="宋体"/>
          <w:sz w:val="18"/>
          <w:szCs w:val="18"/>
        </w:rPr>
        <w:t>：秩序构想的重心漂移与东亚格局的历史后果</w:t>
      </w:r>
    </w:p>
    <w:p w14:paraId="34676A0C" w14:textId="77777777" w:rsidR="00F31552" w:rsidRDefault="00DC6C2D" w:rsidP="00F31552">
      <w:pPr>
        <w:spacing w:line="360" w:lineRule="auto"/>
        <w:ind w:firstLineChars="200" w:firstLine="360"/>
        <w:rPr>
          <w:rFonts w:hint="eastAsia"/>
          <w:sz w:val="18"/>
          <w:szCs w:val="18"/>
        </w:rPr>
      </w:pPr>
      <w:r w:rsidRPr="00F31552">
        <w:rPr>
          <w:rFonts w:ascii="宋体" w:eastAsia="宋体" w:hAnsi="宋体"/>
          <w:sz w:val="18"/>
          <w:szCs w:val="18"/>
        </w:rPr>
        <w:lastRenderedPageBreak/>
        <w:t>综合黑泽文贵的论述，战间期日本陆军的东亚秩序构想可概括为一次“重心漂移”：</w:t>
      </w:r>
      <w:r w:rsidR="00600807" w:rsidRPr="00F31552">
        <w:rPr>
          <w:rFonts w:ascii="宋体" w:eastAsia="宋体" w:hAnsi="宋体"/>
          <w:b/>
          <w:bCs/>
          <w:sz w:val="18"/>
          <w:szCs w:val="18"/>
        </w:rPr>
        <w:t>20年代以稳定为目标的大陆秩序</w:t>
      </w:r>
      <w:r w:rsidR="00600807" w:rsidRPr="00F31552">
        <w:rPr>
          <w:rFonts w:ascii="宋体" w:eastAsia="宋体" w:hAnsi="宋体" w:hint="eastAsia"/>
          <w:sz w:val="18"/>
          <w:szCs w:val="18"/>
        </w:rPr>
        <w:t>，</w:t>
      </w:r>
      <w:r w:rsidR="00600807" w:rsidRPr="00F31552">
        <w:rPr>
          <w:rFonts w:ascii="宋体" w:eastAsia="宋体" w:hAnsi="宋体"/>
          <w:sz w:val="18"/>
          <w:szCs w:val="18"/>
        </w:rPr>
        <w:t>通过“1925年体制”，陆军试图在国内以普通选举与治安维持法并行的方式整合政治社会，在对外以华盛顿体系协调与日中苏合作支撑东亚稳定（黑泽文贵，第379页）。在大陆政策层面，它可以用“治安维持”“门户开放、机会均等”等语言来论证在满洲的存在（黑泽文贵，第326页）。</w:t>
      </w:r>
      <w:r w:rsidR="00C25241" w:rsidRPr="00F31552">
        <w:rPr>
          <w:rStyle w:val="af2"/>
          <w:rFonts w:ascii="宋体" w:eastAsia="宋体" w:hAnsi="宋体"/>
          <w:sz w:val="18"/>
          <w:szCs w:val="18"/>
        </w:rPr>
        <w:t>30年代以可控为目标的治安化秩序</w:t>
      </w:r>
      <w:r w:rsidR="00C25241" w:rsidRPr="00F31552">
        <w:rPr>
          <w:rFonts w:ascii="宋体" w:eastAsia="宋体" w:hAnsi="宋体" w:hint="eastAsia"/>
          <w:sz w:val="18"/>
          <w:szCs w:val="18"/>
        </w:rPr>
        <w:t>，</w:t>
      </w:r>
      <w:r w:rsidR="00C25241" w:rsidRPr="00F31552">
        <w:rPr>
          <w:rFonts w:ascii="宋体" w:eastAsia="宋体" w:hAnsi="宋体"/>
          <w:sz w:val="18"/>
          <w:szCs w:val="18"/>
        </w:rPr>
        <w:t>随着稳定体制失灵与陆军“革新”派崛起，路线转向“先外后内”，把对外军事行动变为推动国内改造的杠杆（黑泽文贵，第353页）。在这一过程中，“侵略满蒙”与“改造国家”被视为互为表里，满洲事变等事件成为替代“1925年体制”、构建总体战体制的政治武器（黑泽文贵，第367页）。二二六后，陆军更通过“合法间接支配”扩大权限，使治安与动员成为国家运行的常态原则（黑泽文贵，第384页）。</w:t>
      </w:r>
    </w:p>
    <w:p w14:paraId="13AA68EE" w14:textId="2FED0F0E" w:rsidR="00CD4A17" w:rsidRPr="00F31552" w:rsidRDefault="00CD4A17" w:rsidP="00F31552">
      <w:pPr>
        <w:spacing w:line="360" w:lineRule="auto"/>
        <w:ind w:firstLineChars="200" w:firstLine="360"/>
        <w:rPr>
          <w:rFonts w:ascii="宋体" w:eastAsia="宋体" w:hAnsi="宋体" w:hint="eastAsia"/>
          <w:sz w:val="18"/>
          <w:szCs w:val="18"/>
        </w:rPr>
      </w:pPr>
      <w:r w:rsidRPr="00F31552">
        <w:rPr>
          <w:rFonts w:ascii="宋体" w:eastAsia="宋体" w:hAnsi="宋体"/>
          <w:sz w:val="18"/>
          <w:szCs w:val="18"/>
        </w:rPr>
        <w:t>从中美关系与东亚格局的角度看，这一漂移意味着：日本陆军的东亚秩序想象从“在国际协调中争取大陆利益”逐渐转向“以治安与动员为核心、以军事行动重塑规则”。它一方面在话语上借用开放门户等国际规范（黑泽文贵，第326页），另一方面又在总体战压力与对美对华结构性矛盾中走向高压统制与战争动员（黑泽文贵，第55页；第233页；第367页）。最终，这种“治安国家”式秩序构想不仅改变了日本国内政治结构，也以军事占领与政治改造的方式深刻破坏东亚既有国际秩序，并将地区推向全面战争的深渊。</w:t>
      </w:r>
    </w:p>
    <w:sectPr w:rsidR="00CD4A17" w:rsidRPr="00F315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A5A5" w14:textId="77777777" w:rsidR="000E2FEB" w:rsidRDefault="000E2FEB" w:rsidP="001B3490">
      <w:pPr>
        <w:rPr>
          <w:rFonts w:hint="eastAsia"/>
        </w:rPr>
      </w:pPr>
      <w:r>
        <w:separator/>
      </w:r>
    </w:p>
  </w:endnote>
  <w:endnote w:type="continuationSeparator" w:id="0">
    <w:p w14:paraId="3DB81EC6" w14:textId="77777777" w:rsidR="000E2FEB" w:rsidRDefault="000E2FEB" w:rsidP="001B3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B7DDA" w14:textId="77777777" w:rsidR="000E2FEB" w:rsidRDefault="000E2FEB" w:rsidP="001B3490">
      <w:pPr>
        <w:rPr>
          <w:rFonts w:hint="eastAsia"/>
        </w:rPr>
      </w:pPr>
      <w:r>
        <w:separator/>
      </w:r>
    </w:p>
  </w:footnote>
  <w:footnote w:type="continuationSeparator" w:id="0">
    <w:p w14:paraId="4FCDCC65" w14:textId="77777777" w:rsidR="000E2FEB" w:rsidRDefault="000E2FEB" w:rsidP="001B34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32E"/>
    <w:multiLevelType w:val="hybridMultilevel"/>
    <w:tmpl w:val="66089C94"/>
    <w:lvl w:ilvl="0" w:tplc="A468916C">
      <w:start w:val="3"/>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A05105"/>
    <w:multiLevelType w:val="hybridMultilevel"/>
    <w:tmpl w:val="39E8F3A0"/>
    <w:lvl w:ilvl="0" w:tplc="ACCEFCB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8661C"/>
    <w:multiLevelType w:val="hybridMultilevel"/>
    <w:tmpl w:val="23A4C7EA"/>
    <w:lvl w:ilvl="0" w:tplc="A468916C">
      <w:start w:val="3"/>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1A3367"/>
    <w:multiLevelType w:val="hybridMultilevel"/>
    <w:tmpl w:val="978690FE"/>
    <w:lvl w:ilvl="0" w:tplc="5C940BF2">
      <w:start w:val="1"/>
      <w:numFmt w:val="japaneseCounting"/>
      <w:lvlText w:val="（%1）"/>
      <w:lvlJc w:val="left"/>
      <w:pPr>
        <w:ind w:left="1287" w:hanging="72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4" w15:restartNumberingAfterBreak="0">
    <w:nsid w:val="0DFE6C46"/>
    <w:multiLevelType w:val="hybridMultilevel"/>
    <w:tmpl w:val="16B8027E"/>
    <w:lvl w:ilvl="0" w:tplc="9F24ACE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D57662"/>
    <w:multiLevelType w:val="hybridMultilevel"/>
    <w:tmpl w:val="CB5C459C"/>
    <w:lvl w:ilvl="0" w:tplc="0409000F">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6" w15:restartNumberingAfterBreak="0">
    <w:nsid w:val="217F4397"/>
    <w:multiLevelType w:val="hybridMultilevel"/>
    <w:tmpl w:val="50CAD6D8"/>
    <w:lvl w:ilvl="0" w:tplc="DEFC142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D64FF7"/>
    <w:multiLevelType w:val="hybridMultilevel"/>
    <w:tmpl w:val="0E32D84E"/>
    <w:lvl w:ilvl="0" w:tplc="0409000F">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8" w15:restartNumberingAfterBreak="0">
    <w:nsid w:val="33B67B14"/>
    <w:multiLevelType w:val="hybridMultilevel"/>
    <w:tmpl w:val="E7846866"/>
    <w:lvl w:ilvl="0" w:tplc="A468916C">
      <w:start w:val="3"/>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F0B4419"/>
    <w:multiLevelType w:val="hybridMultilevel"/>
    <w:tmpl w:val="C8D0813E"/>
    <w:lvl w:ilvl="0" w:tplc="CC9E61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4C206D4"/>
    <w:multiLevelType w:val="hybridMultilevel"/>
    <w:tmpl w:val="77B4B250"/>
    <w:lvl w:ilvl="0" w:tplc="084A49E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E822200"/>
    <w:multiLevelType w:val="hybridMultilevel"/>
    <w:tmpl w:val="1C647EEC"/>
    <w:lvl w:ilvl="0" w:tplc="E21282D0">
      <w:start w:val="1"/>
      <w:numFmt w:val="decimal"/>
      <w:lvlText w:val="%1."/>
      <w:lvlJc w:val="left"/>
      <w:pPr>
        <w:ind w:left="360" w:hanging="360"/>
      </w:pPr>
      <w:rPr>
        <w:rFonts w:hint="default"/>
        <w:b/>
      </w:rPr>
    </w:lvl>
    <w:lvl w:ilvl="1" w:tplc="A468916C">
      <w:start w:val="3"/>
      <w:numFmt w:val="japaneseCounting"/>
      <w:lvlText w:val="%2、"/>
      <w:lvlJc w:val="left"/>
      <w:pPr>
        <w:ind w:left="860" w:hanging="4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2A352D"/>
    <w:multiLevelType w:val="singleLevel"/>
    <w:tmpl w:val="5A2A352D"/>
    <w:lvl w:ilvl="0">
      <w:start w:val="20"/>
      <w:numFmt w:val="decimal"/>
      <w:suff w:val="space"/>
      <w:lvlText w:val="%1 "/>
      <w:lvlJc w:val="left"/>
    </w:lvl>
  </w:abstractNum>
  <w:abstractNum w:abstractNumId="13" w15:restartNumberingAfterBreak="0">
    <w:nsid w:val="5D915A28"/>
    <w:multiLevelType w:val="hybridMultilevel"/>
    <w:tmpl w:val="1A0C9ACA"/>
    <w:lvl w:ilvl="0" w:tplc="70C4874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E520A5F"/>
    <w:multiLevelType w:val="hybridMultilevel"/>
    <w:tmpl w:val="59C42910"/>
    <w:lvl w:ilvl="0" w:tplc="12AEEAB8">
      <w:start w:val="2"/>
      <w:numFmt w:val="japaneseCounting"/>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7A863DC0"/>
    <w:multiLevelType w:val="hybridMultilevel"/>
    <w:tmpl w:val="6C9CF3A6"/>
    <w:lvl w:ilvl="0" w:tplc="B99E8164">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3914802">
    <w:abstractNumId w:val="11"/>
  </w:num>
  <w:num w:numId="2" w16cid:durableId="532960813">
    <w:abstractNumId w:val="0"/>
  </w:num>
  <w:num w:numId="3" w16cid:durableId="1798839030">
    <w:abstractNumId w:val="10"/>
  </w:num>
  <w:num w:numId="4" w16cid:durableId="1174995975">
    <w:abstractNumId w:val="3"/>
  </w:num>
  <w:num w:numId="5" w16cid:durableId="210924993">
    <w:abstractNumId w:val="13"/>
  </w:num>
  <w:num w:numId="6" w16cid:durableId="351304505">
    <w:abstractNumId w:val="2"/>
  </w:num>
  <w:num w:numId="7" w16cid:durableId="826556628">
    <w:abstractNumId w:val="8"/>
  </w:num>
  <w:num w:numId="8" w16cid:durableId="343168681">
    <w:abstractNumId w:val="1"/>
  </w:num>
  <w:num w:numId="9" w16cid:durableId="1485511435">
    <w:abstractNumId w:val="7"/>
  </w:num>
  <w:num w:numId="10" w16cid:durableId="1688865685">
    <w:abstractNumId w:val="5"/>
  </w:num>
  <w:num w:numId="11" w16cid:durableId="1928880173">
    <w:abstractNumId w:val="9"/>
  </w:num>
  <w:num w:numId="12" w16cid:durableId="1495800451">
    <w:abstractNumId w:val="15"/>
  </w:num>
  <w:num w:numId="13" w16cid:durableId="938101711">
    <w:abstractNumId w:val="14"/>
  </w:num>
  <w:num w:numId="14" w16cid:durableId="815147066">
    <w:abstractNumId w:val="6"/>
  </w:num>
  <w:num w:numId="15" w16cid:durableId="1986156431">
    <w:abstractNumId w:val="4"/>
  </w:num>
  <w:num w:numId="16" w16cid:durableId="1864391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21"/>
    <w:rsid w:val="00006EC2"/>
    <w:rsid w:val="00036DAC"/>
    <w:rsid w:val="000C01B5"/>
    <w:rsid w:val="000E2FEB"/>
    <w:rsid w:val="00134D95"/>
    <w:rsid w:val="001539E6"/>
    <w:rsid w:val="001A2B21"/>
    <w:rsid w:val="001B3490"/>
    <w:rsid w:val="001B6F2C"/>
    <w:rsid w:val="001D77D9"/>
    <w:rsid w:val="0023015A"/>
    <w:rsid w:val="00254E77"/>
    <w:rsid w:val="002744A9"/>
    <w:rsid w:val="002A2102"/>
    <w:rsid w:val="00417EE1"/>
    <w:rsid w:val="004264D1"/>
    <w:rsid w:val="004414BF"/>
    <w:rsid w:val="004A488C"/>
    <w:rsid w:val="004D2B47"/>
    <w:rsid w:val="00500D14"/>
    <w:rsid w:val="005021DE"/>
    <w:rsid w:val="00517E2D"/>
    <w:rsid w:val="0053287A"/>
    <w:rsid w:val="0056499D"/>
    <w:rsid w:val="005D5B3C"/>
    <w:rsid w:val="00600807"/>
    <w:rsid w:val="0063333E"/>
    <w:rsid w:val="006601F3"/>
    <w:rsid w:val="00721FC6"/>
    <w:rsid w:val="0075639D"/>
    <w:rsid w:val="007D0D96"/>
    <w:rsid w:val="007D6134"/>
    <w:rsid w:val="00825315"/>
    <w:rsid w:val="00836B9C"/>
    <w:rsid w:val="008D1A7C"/>
    <w:rsid w:val="009164E5"/>
    <w:rsid w:val="009260E7"/>
    <w:rsid w:val="009B7CB8"/>
    <w:rsid w:val="00A94630"/>
    <w:rsid w:val="00AD3A37"/>
    <w:rsid w:val="00AF3E35"/>
    <w:rsid w:val="00B04012"/>
    <w:rsid w:val="00B73BDD"/>
    <w:rsid w:val="00C25241"/>
    <w:rsid w:val="00C27BA3"/>
    <w:rsid w:val="00CC0014"/>
    <w:rsid w:val="00CD4A17"/>
    <w:rsid w:val="00CE03ED"/>
    <w:rsid w:val="00CF6D66"/>
    <w:rsid w:val="00D45FB2"/>
    <w:rsid w:val="00D71E05"/>
    <w:rsid w:val="00DC6C2D"/>
    <w:rsid w:val="00E57AA5"/>
    <w:rsid w:val="00E60B04"/>
    <w:rsid w:val="00E9084C"/>
    <w:rsid w:val="00E954E0"/>
    <w:rsid w:val="00EA3BFB"/>
    <w:rsid w:val="00F0550E"/>
    <w:rsid w:val="00F31552"/>
    <w:rsid w:val="00F44A38"/>
    <w:rsid w:val="00F83598"/>
    <w:rsid w:val="00F9064F"/>
    <w:rsid w:val="00FD7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14F4E"/>
  <w15:chartTrackingRefBased/>
  <w15:docId w15:val="{7BE65E0B-4367-44E9-AEF4-68F70263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2B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2B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2B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2B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2B2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A2B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2B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2B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2B2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2B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2B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2B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2B21"/>
    <w:rPr>
      <w:rFonts w:cstheme="majorBidi"/>
      <w:color w:val="0F4761" w:themeColor="accent1" w:themeShade="BF"/>
      <w:sz w:val="28"/>
      <w:szCs w:val="28"/>
    </w:rPr>
  </w:style>
  <w:style w:type="character" w:customStyle="1" w:styleId="50">
    <w:name w:val="标题 5 字符"/>
    <w:basedOn w:val="a0"/>
    <w:link w:val="5"/>
    <w:uiPriority w:val="9"/>
    <w:semiHidden/>
    <w:rsid w:val="001A2B21"/>
    <w:rPr>
      <w:rFonts w:cstheme="majorBidi"/>
      <w:color w:val="0F4761" w:themeColor="accent1" w:themeShade="BF"/>
      <w:sz w:val="24"/>
      <w:szCs w:val="24"/>
    </w:rPr>
  </w:style>
  <w:style w:type="character" w:customStyle="1" w:styleId="60">
    <w:name w:val="标题 6 字符"/>
    <w:basedOn w:val="a0"/>
    <w:link w:val="6"/>
    <w:uiPriority w:val="9"/>
    <w:semiHidden/>
    <w:rsid w:val="001A2B21"/>
    <w:rPr>
      <w:rFonts w:cstheme="majorBidi"/>
      <w:b/>
      <w:bCs/>
      <w:color w:val="0F4761" w:themeColor="accent1" w:themeShade="BF"/>
    </w:rPr>
  </w:style>
  <w:style w:type="character" w:customStyle="1" w:styleId="70">
    <w:name w:val="标题 7 字符"/>
    <w:basedOn w:val="a0"/>
    <w:link w:val="7"/>
    <w:uiPriority w:val="9"/>
    <w:semiHidden/>
    <w:rsid w:val="001A2B21"/>
    <w:rPr>
      <w:rFonts w:cstheme="majorBidi"/>
      <w:b/>
      <w:bCs/>
      <w:color w:val="595959" w:themeColor="text1" w:themeTint="A6"/>
    </w:rPr>
  </w:style>
  <w:style w:type="character" w:customStyle="1" w:styleId="80">
    <w:name w:val="标题 8 字符"/>
    <w:basedOn w:val="a0"/>
    <w:link w:val="8"/>
    <w:uiPriority w:val="9"/>
    <w:semiHidden/>
    <w:rsid w:val="001A2B21"/>
    <w:rPr>
      <w:rFonts w:cstheme="majorBidi"/>
      <w:color w:val="595959" w:themeColor="text1" w:themeTint="A6"/>
    </w:rPr>
  </w:style>
  <w:style w:type="character" w:customStyle="1" w:styleId="90">
    <w:name w:val="标题 9 字符"/>
    <w:basedOn w:val="a0"/>
    <w:link w:val="9"/>
    <w:uiPriority w:val="9"/>
    <w:semiHidden/>
    <w:rsid w:val="001A2B21"/>
    <w:rPr>
      <w:rFonts w:eastAsiaTheme="majorEastAsia" w:cstheme="majorBidi"/>
      <w:color w:val="595959" w:themeColor="text1" w:themeTint="A6"/>
    </w:rPr>
  </w:style>
  <w:style w:type="paragraph" w:styleId="a3">
    <w:name w:val="Title"/>
    <w:basedOn w:val="a"/>
    <w:next w:val="a"/>
    <w:link w:val="a4"/>
    <w:uiPriority w:val="10"/>
    <w:qFormat/>
    <w:rsid w:val="001A2B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2B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2B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2B21"/>
    <w:pPr>
      <w:spacing w:before="160" w:after="160"/>
      <w:jc w:val="center"/>
    </w:pPr>
    <w:rPr>
      <w:i/>
      <w:iCs/>
      <w:color w:val="404040" w:themeColor="text1" w:themeTint="BF"/>
    </w:rPr>
  </w:style>
  <w:style w:type="character" w:customStyle="1" w:styleId="a8">
    <w:name w:val="引用 字符"/>
    <w:basedOn w:val="a0"/>
    <w:link w:val="a7"/>
    <w:uiPriority w:val="29"/>
    <w:rsid w:val="001A2B21"/>
    <w:rPr>
      <w:i/>
      <w:iCs/>
      <w:color w:val="404040" w:themeColor="text1" w:themeTint="BF"/>
    </w:rPr>
  </w:style>
  <w:style w:type="paragraph" w:styleId="a9">
    <w:name w:val="List Paragraph"/>
    <w:basedOn w:val="a"/>
    <w:uiPriority w:val="34"/>
    <w:qFormat/>
    <w:rsid w:val="001A2B21"/>
    <w:pPr>
      <w:ind w:left="720"/>
      <w:contextualSpacing/>
    </w:pPr>
  </w:style>
  <w:style w:type="character" w:styleId="aa">
    <w:name w:val="Intense Emphasis"/>
    <w:basedOn w:val="a0"/>
    <w:uiPriority w:val="21"/>
    <w:qFormat/>
    <w:rsid w:val="001A2B21"/>
    <w:rPr>
      <w:i/>
      <w:iCs/>
      <w:color w:val="0F4761" w:themeColor="accent1" w:themeShade="BF"/>
    </w:rPr>
  </w:style>
  <w:style w:type="paragraph" w:styleId="ab">
    <w:name w:val="Intense Quote"/>
    <w:basedOn w:val="a"/>
    <w:next w:val="a"/>
    <w:link w:val="ac"/>
    <w:uiPriority w:val="30"/>
    <w:qFormat/>
    <w:rsid w:val="001A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2B21"/>
    <w:rPr>
      <w:i/>
      <w:iCs/>
      <w:color w:val="0F4761" w:themeColor="accent1" w:themeShade="BF"/>
    </w:rPr>
  </w:style>
  <w:style w:type="character" w:styleId="ad">
    <w:name w:val="Intense Reference"/>
    <w:basedOn w:val="a0"/>
    <w:uiPriority w:val="32"/>
    <w:qFormat/>
    <w:rsid w:val="001A2B21"/>
    <w:rPr>
      <w:b/>
      <w:bCs/>
      <w:smallCaps/>
      <w:color w:val="0F4761" w:themeColor="accent1" w:themeShade="BF"/>
      <w:spacing w:val="5"/>
    </w:rPr>
  </w:style>
  <w:style w:type="paragraph" w:styleId="ae">
    <w:name w:val="header"/>
    <w:basedOn w:val="a"/>
    <w:link w:val="af"/>
    <w:uiPriority w:val="99"/>
    <w:unhideWhenUsed/>
    <w:rsid w:val="001B3490"/>
    <w:pPr>
      <w:tabs>
        <w:tab w:val="center" w:pos="4153"/>
        <w:tab w:val="right" w:pos="8306"/>
      </w:tabs>
      <w:snapToGrid w:val="0"/>
      <w:jc w:val="center"/>
    </w:pPr>
    <w:rPr>
      <w:sz w:val="18"/>
      <w:szCs w:val="18"/>
    </w:rPr>
  </w:style>
  <w:style w:type="character" w:customStyle="1" w:styleId="af">
    <w:name w:val="页眉 字符"/>
    <w:basedOn w:val="a0"/>
    <w:link w:val="ae"/>
    <w:uiPriority w:val="99"/>
    <w:rsid w:val="001B3490"/>
    <w:rPr>
      <w:sz w:val="18"/>
      <w:szCs w:val="18"/>
    </w:rPr>
  </w:style>
  <w:style w:type="paragraph" w:styleId="af0">
    <w:name w:val="footer"/>
    <w:basedOn w:val="a"/>
    <w:link w:val="af1"/>
    <w:uiPriority w:val="99"/>
    <w:unhideWhenUsed/>
    <w:rsid w:val="001B3490"/>
    <w:pPr>
      <w:tabs>
        <w:tab w:val="center" w:pos="4153"/>
        <w:tab w:val="right" w:pos="8306"/>
      </w:tabs>
      <w:snapToGrid w:val="0"/>
      <w:jc w:val="left"/>
    </w:pPr>
    <w:rPr>
      <w:sz w:val="18"/>
      <w:szCs w:val="18"/>
    </w:rPr>
  </w:style>
  <w:style w:type="character" w:customStyle="1" w:styleId="af1">
    <w:name w:val="页脚 字符"/>
    <w:basedOn w:val="a0"/>
    <w:link w:val="af0"/>
    <w:uiPriority w:val="99"/>
    <w:rsid w:val="001B3490"/>
    <w:rPr>
      <w:sz w:val="18"/>
      <w:szCs w:val="18"/>
    </w:rPr>
  </w:style>
  <w:style w:type="character" w:styleId="af2">
    <w:name w:val="Strong"/>
    <w:basedOn w:val="a0"/>
    <w:uiPriority w:val="22"/>
    <w:qFormat/>
    <w:rsid w:val="00E57AA5"/>
    <w:rPr>
      <w:b/>
      <w:bCs/>
    </w:rPr>
  </w:style>
  <w:style w:type="paragraph" w:styleId="af3">
    <w:name w:val="Normal (Web)"/>
    <w:basedOn w:val="a"/>
    <w:uiPriority w:val="99"/>
    <w:unhideWhenUsed/>
    <w:rsid w:val="00417EE1"/>
    <w:pPr>
      <w:widowControl/>
      <w:spacing w:before="100" w:beforeAutospacing="1" w:after="100" w:afterAutospacing="1"/>
      <w:jc w:val="left"/>
    </w:pPr>
    <w:rPr>
      <w:rFonts w:ascii="宋体" w:eastAsia="宋体" w:hAnsi="宋体" w:cs="宋体"/>
      <w:kern w:val="0"/>
      <w:sz w:val="24"/>
      <w:szCs w:val="24"/>
    </w:rPr>
  </w:style>
  <w:style w:type="table" w:styleId="af4">
    <w:name w:val="Table Grid"/>
    <w:basedOn w:val="a1"/>
    <w:qFormat/>
    <w:rsid w:val="00B0401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子鑫 张</dc:creator>
  <cp:keywords/>
  <dc:description/>
  <cp:lastModifiedBy>子鑫 张</cp:lastModifiedBy>
  <cp:revision>51</cp:revision>
  <dcterms:created xsi:type="dcterms:W3CDTF">2025-12-22T05:16:00Z</dcterms:created>
  <dcterms:modified xsi:type="dcterms:W3CDTF">2025-12-24T10:02:00Z</dcterms:modified>
</cp:coreProperties>
</file>