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13F67"/>
          <w:sz w:val="36"/>
        </w:rPr>
        <w:t>PARTICIPANT PERFORMANCE REPORT</w:t>
      </w:r>
    </w:p>
    <w:tbl>
      <w:tblPr>
        <w:tblStyle w:val="TableGrid"/>
        <w:tblW w:type="auto" w:w="0"/>
        <w:tblLook w:firstColumn="1" w:firstRow="1" w:lastColumn="0" w:lastRow="0" w:noHBand="0" w:noVBand="1" w:val="04A0"/>
      </w:tblPr>
      <w:tblGrid>
        <w:gridCol w:w="3535"/>
        <w:gridCol w:w="3535"/>
        <w:gridCol w:w="3535"/>
        <w:gridCol w:w="3535"/>
      </w:tblGrid>
      <w:tr>
        <w:tc>
          <w:tcPr>
            <w:tcW w:type="dxa" w:w="3535"/>
            <w:shd w:fill="DCEAF4"/>
          </w:tcPr>
          <w:p>
            <w:r>
              <w:t>Startup</w:t>
            </w:r>
          </w:p>
        </w:tc>
        <w:tc>
          <w:tcPr>
            <w:tcW w:type="dxa" w:w="3535"/>
          </w:tcPr>
          <w:p>
            <w:r>
              <w:t>Trakto</w:t>
            </w:r>
          </w:p>
        </w:tc>
        <w:tc>
          <w:tcPr>
            <w:tcW w:type="dxa" w:w="3535"/>
            <w:shd w:fill="DCEAF4"/>
          </w:tcPr>
          <w:p>
            <w:r>
              <w:t>Producto</w:t>
            </w:r>
          </w:p>
        </w:tc>
        <w:tc>
          <w:tcPr>
            <w:tcW w:type="dxa" w:w="3535"/>
          </w:tcPr>
          <w:p>
            <w:r>
              <w:t>Trakto Route</w:t>
            </w:r>
          </w:p>
        </w:tc>
      </w:tr>
      <w:tr>
        <w:tc>
          <w:tcPr>
            <w:tcW w:type="dxa" w:w="3535"/>
            <w:shd w:fill="DCEAF4"/>
          </w:tcPr>
          <w:p>
            <w:r>
              <w:t>Entrega</w:t>
            </w:r>
          </w:p>
        </w:tc>
        <w:tc>
          <w:tcPr>
            <w:tcW w:type="dxa" w:w="3535"/>
          </w:tcPr>
          <w:p>
            <w:r>
              <w:t>TB1</w:t>
            </w:r>
          </w:p>
        </w:tc>
        <w:tc>
          <w:tcPr>
            <w:tcW w:type="dxa" w:w="3535"/>
            <w:shd w:fill="DCEAF4"/>
          </w:tcPr>
          <w:p>
            <w:r>
              <w:t>Team Leader</w:t>
            </w:r>
          </w:p>
        </w:tc>
        <w:tc>
          <w:tcPr>
            <w:tcW w:type="dxa" w:w="3535"/>
          </w:tcPr>
          <w:p>
            <w:r>
              <w:t>Alexander Piero Fernandez Garfias</w:t>
            </w:r>
          </w:p>
        </w:tc>
      </w:tr>
    </w:tbl>
    <w:p/>
    <w:p>
      <w:pPr>
        <w:jc w:val="both"/>
      </w:pPr>
      <w:r>
        <w:rPr>
          <w:b/>
        </w:rPr>
        <w:t xml:space="preserve">Criterio de valoración: </w:t>
      </w:r>
      <w:r>
        <w:t>las categorías y calificaciones son una valoración documental preparada por Jean Franck Loa Rojas para TB1, con base en las contribuciones observables. La ausencia de aportes en GitHub no permite descartar trabajo realizado por otros medios.</w:t>
      </w:r>
    </w:p>
    <w:tbl>
      <w:tblPr>
        <w:tblStyle w:val="TableGrid"/>
        <w:tblW w:type="auto" w:w="0"/>
        <w:tblLayout w:type="fixed"/>
        <w:tblLook w:firstColumn="1" w:firstRow="1" w:lastColumn="0" w:lastRow="0" w:noHBand="0" w:noVBand="1" w:val="04A0"/>
      </w:tblPr>
      <w:tblGrid>
        <w:gridCol w:w="2828"/>
        <w:gridCol w:w="2828"/>
        <w:gridCol w:w="2828"/>
        <w:gridCol w:w="2828"/>
        <w:gridCol w:w="2828"/>
      </w:tblGrid>
      <w:tr>
        <w:tc>
          <w:tcPr>
            <w:tcW w:type="dxa" w:w="624"/>
            <w:vAlign w:val="center"/>
            <w:shd w:fill="113F67"/>
          </w:tcPr>
          <w:p>
            <w:pPr>
              <w:jc w:val="center"/>
            </w:pPr>
            <w:r>
              <w:rPr>
                <w:b/>
                <w:color w:val="FFFFFF"/>
                <w:sz w:val="16"/>
              </w:rPr>
              <w:t>Ítem</w:t>
            </w:r>
          </w:p>
        </w:tc>
        <w:tc>
          <w:tcPr>
            <w:tcW w:type="dxa" w:w="2381"/>
            <w:vAlign w:val="center"/>
            <w:shd w:fill="113F67"/>
          </w:tcPr>
          <w:p>
            <w:pPr>
              <w:jc w:val="center"/>
            </w:pPr>
            <w:r>
              <w:rPr>
                <w:b/>
                <w:color w:val="FFFFFF"/>
                <w:sz w:val="16"/>
              </w:rPr>
              <w:t>Estudiante</w:t>
            </w:r>
          </w:p>
        </w:tc>
        <w:tc>
          <w:tcPr>
            <w:tcW w:type="dxa" w:w="5783"/>
            <w:vAlign w:val="center"/>
            <w:shd w:fill="113F67"/>
          </w:tcPr>
          <w:p>
            <w:pPr>
              <w:jc w:val="center"/>
            </w:pPr>
            <w:r>
              <w:rPr>
                <w:b/>
                <w:color w:val="FFFFFF"/>
                <w:sz w:val="16"/>
              </w:rPr>
              <w:t>Responsabilidades TB1</w:t>
            </w:r>
          </w:p>
        </w:tc>
        <w:tc>
          <w:tcPr>
            <w:tcW w:type="dxa" w:w="1701"/>
            <w:vAlign w:val="center"/>
            <w:shd w:fill="113F67"/>
          </w:tcPr>
          <w:p>
            <w:pPr>
              <w:jc w:val="center"/>
            </w:pPr>
            <w:r>
              <w:rPr>
                <w:b/>
                <w:color w:val="FFFFFF"/>
                <w:sz w:val="16"/>
              </w:rPr>
              <w:t>Cumplimiento</w:t>
            </w:r>
          </w:p>
        </w:tc>
        <w:tc>
          <w:tcPr>
            <w:tcW w:type="dxa" w:w="1247"/>
            <w:vAlign w:val="center"/>
            <w:shd w:fill="113F67"/>
          </w:tcPr>
          <w:p>
            <w:pPr>
              <w:jc w:val="center"/>
            </w:pPr>
            <w:r>
              <w:rPr>
                <w:b/>
                <w:color w:val="FFFFFF"/>
                <w:sz w:val="16"/>
              </w:rPr>
              <w:t>Calificación 0-20</w:t>
            </w:r>
          </w:p>
        </w:tc>
      </w:tr>
      <w:tr>
        <w:tc>
          <w:tcPr>
            <w:tcW w:type="dxa" w:w="624"/>
            <w:vAlign w:val="center"/>
          </w:tcPr>
          <w:p>
            <w:pPr>
              <w:spacing w:after="0"/>
              <w:jc w:val="center"/>
            </w:pPr>
            <w:r>
              <w:rPr>
                <w:rFonts w:ascii="Arial" w:hAnsi="Arial"/>
                <w:sz w:val="16"/>
              </w:rPr>
              <w:t>1</w:t>
            </w:r>
          </w:p>
        </w:tc>
        <w:tc>
          <w:tcPr>
            <w:tcW w:type="dxa" w:w="2381"/>
            <w:vAlign w:val="center"/>
          </w:tcPr>
          <w:p>
            <w:pPr>
              <w:spacing w:after="0"/>
              <w:jc w:val="left"/>
            </w:pPr>
            <w:r>
              <w:rPr>
                <w:rFonts w:ascii="Arial" w:hAnsi="Arial"/>
                <w:sz w:val="16"/>
              </w:rPr>
              <w:t>Linares Bernable, Cesar Alejandro</w:t>
            </w:r>
          </w:p>
        </w:tc>
        <w:tc>
          <w:tcPr>
            <w:tcW w:type="dxa" w:w="5783"/>
            <w:vAlign w:val="center"/>
          </w:tcPr>
          <w:p>
            <w:pPr>
              <w:spacing w:after="0"/>
              <w:jc w:val="left"/>
            </w:pPr>
            <w:r>
              <w:rPr>
                <w:rFonts w:ascii="Arial" w:hAnsi="Arial"/>
                <w:sz w:val="16"/>
              </w:rPr>
              <w:t>No se identificaron contribuciones TB1 atribuibles en los repositorios revisados. Valoración limitada a la evidencia documental disponible.</w:t>
            </w:r>
          </w:p>
        </w:tc>
        <w:tc>
          <w:tcPr>
            <w:tcW w:type="dxa" w:w="1701"/>
            <w:vAlign w:val="center"/>
            <w:shd w:fill="FFF2CC"/>
          </w:tcPr>
          <w:p>
            <w:pPr>
              <w:spacing w:after="0"/>
              <w:jc w:val="center"/>
            </w:pPr>
            <w:r>
              <w:rPr>
                <w:rFonts w:ascii="Arial" w:hAnsi="Arial"/>
                <w:sz w:val="16"/>
              </w:rPr>
              <w:t>No cumplió (valoración documental)</w:t>
            </w:r>
          </w:p>
        </w:tc>
        <w:tc>
          <w:tcPr>
            <w:tcW w:type="dxa" w:w="1247"/>
            <w:vAlign w:val="center"/>
            <w:shd w:fill="FFF2CC"/>
          </w:tcPr>
          <w:p>
            <w:pPr>
              <w:spacing w:after="0"/>
              <w:jc w:val="center"/>
            </w:pPr>
            <w:r>
              <w:rPr>
                <w:rFonts w:ascii="Arial" w:hAnsi="Arial"/>
                <w:sz w:val="16"/>
              </w:rPr>
              <w:t>0</w:t>
            </w:r>
          </w:p>
        </w:tc>
      </w:tr>
      <w:tr>
        <w:tc>
          <w:tcPr>
            <w:tcW w:type="dxa" w:w="624"/>
            <w:vAlign w:val="center"/>
          </w:tcPr>
          <w:p>
            <w:pPr>
              <w:spacing w:after="0"/>
              <w:jc w:val="center"/>
            </w:pPr>
            <w:r>
              <w:rPr>
                <w:rFonts w:ascii="Arial" w:hAnsi="Arial"/>
                <w:sz w:val="16"/>
              </w:rPr>
              <w:t>2</w:t>
            </w:r>
          </w:p>
        </w:tc>
        <w:tc>
          <w:tcPr>
            <w:tcW w:type="dxa" w:w="2381"/>
            <w:vAlign w:val="center"/>
          </w:tcPr>
          <w:p>
            <w:pPr>
              <w:spacing w:after="0"/>
              <w:jc w:val="left"/>
            </w:pPr>
            <w:r>
              <w:rPr>
                <w:rFonts w:ascii="Arial" w:hAnsi="Arial"/>
                <w:sz w:val="16"/>
              </w:rPr>
              <w:t>Aguilar Aguayo, Jeferson Renzo</w:t>
            </w:r>
          </w:p>
        </w:tc>
        <w:tc>
          <w:tcPr>
            <w:tcW w:type="dxa" w:w="5783"/>
            <w:vAlign w:val="center"/>
          </w:tcPr>
          <w:p>
            <w:pPr>
              <w:spacing w:after="0"/>
              <w:jc w:val="left"/>
            </w:pPr>
            <w:r>
              <w:rPr>
                <w:rFonts w:ascii="Arial" w:hAnsi="Arial"/>
                <w:sz w:val="16"/>
              </w:rPr>
              <w:t>Estructuración y redacción de los capítulos III y IV del informe; organización de diseño UI/UX, implementación y validación.</w:t>
            </w:r>
          </w:p>
        </w:tc>
        <w:tc>
          <w:tcPr>
            <w:tcW w:type="dxa" w:w="1701"/>
            <w:vAlign w:val="center"/>
            <w:shd w:fill="FFF2CC"/>
          </w:tcPr>
          <w:p>
            <w:pPr>
              <w:spacing w:after="0"/>
              <w:jc w:val="center"/>
            </w:pPr>
            <w:r>
              <w:rPr>
                <w:rFonts w:ascii="Arial" w:hAnsi="Arial"/>
                <w:sz w:val="16"/>
              </w:rPr>
              <w:t>Cumplió parcialmente</w:t>
            </w:r>
          </w:p>
        </w:tc>
        <w:tc>
          <w:tcPr>
            <w:tcW w:type="dxa" w:w="1247"/>
            <w:vAlign w:val="center"/>
            <w:shd w:fill="FFF2CC"/>
          </w:tcPr>
          <w:p>
            <w:pPr>
              <w:spacing w:after="0"/>
              <w:jc w:val="center"/>
            </w:pPr>
            <w:r>
              <w:rPr>
                <w:rFonts w:ascii="Arial" w:hAnsi="Arial"/>
                <w:sz w:val="16"/>
              </w:rPr>
              <w:t>16</w:t>
            </w:r>
          </w:p>
        </w:tc>
      </w:tr>
      <w:tr>
        <w:tc>
          <w:tcPr>
            <w:tcW w:type="dxa" w:w="624"/>
            <w:vAlign w:val="center"/>
          </w:tcPr>
          <w:p>
            <w:pPr>
              <w:spacing w:after="0"/>
              <w:jc w:val="center"/>
            </w:pPr>
            <w:r>
              <w:rPr>
                <w:rFonts w:ascii="Arial" w:hAnsi="Arial"/>
                <w:sz w:val="16"/>
              </w:rPr>
              <w:t>3</w:t>
            </w:r>
          </w:p>
        </w:tc>
        <w:tc>
          <w:tcPr>
            <w:tcW w:type="dxa" w:w="2381"/>
            <w:vAlign w:val="center"/>
          </w:tcPr>
          <w:p>
            <w:pPr>
              <w:spacing w:after="0"/>
              <w:jc w:val="left"/>
            </w:pPr>
            <w:r>
              <w:rPr>
                <w:rFonts w:ascii="Arial" w:hAnsi="Arial"/>
                <w:sz w:val="16"/>
              </w:rPr>
              <w:t>Fernandez Garfias, Alexander Piero</w:t>
            </w:r>
          </w:p>
        </w:tc>
        <w:tc>
          <w:tcPr>
            <w:tcW w:type="dxa" w:w="5783"/>
            <w:vAlign w:val="center"/>
          </w:tcPr>
          <w:p>
            <w:pPr>
              <w:spacing w:after="0"/>
              <w:jc w:val="left"/>
            </w:pPr>
            <w:r>
              <w:rPr>
                <w:rFonts w:ascii="Arial" w:hAnsi="Arial"/>
                <w:sz w:val="16"/>
              </w:rPr>
              <w:t>Team Leader; implementación principal del backend Spring Boot por contextos; Landing Page; documentación OpenAPI; wireflows, User Flows y mejoras del reporte.</w:t>
            </w:r>
          </w:p>
        </w:tc>
        <w:tc>
          <w:tcPr>
            <w:tcW w:type="dxa" w:w="1701"/>
            <w:vAlign w:val="center"/>
            <w:shd w:fill="FFF2CC"/>
          </w:tcPr>
          <w:p>
            <w:pPr>
              <w:spacing w:after="0"/>
              <w:jc w:val="center"/>
            </w:pPr>
            <w:r>
              <w:rPr>
                <w:rFonts w:ascii="Arial" w:hAnsi="Arial"/>
                <w:sz w:val="16"/>
              </w:rPr>
              <w:t>Cumplió a tiempo</w:t>
            </w:r>
          </w:p>
        </w:tc>
        <w:tc>
          <w:tcPr>
            <w:tcW w:type="dxa" w:w="1247"/>
            <w:vAlign w:val="center"/>
            <w:shd w:fill="FFF2CC"/>
          </w:tcPr>
          <w:p>
            <w:pPr>
              <w:spacing w:after="0"/>
              <w:jc w:val="center"/>
            </w:pPr>
            <w:r>
              <w:rPr>
                <w:rFonts w:ascii="Arial" w:hAnsi="Arial"/>
                <w:sz w:val="16"/>
              </w:rPr>
              <w:t>20</w:t>
            </w:r>
          </w:p>
        </w:tc>
      </w:tr>
      <w:tr>
        <w:tc>
          <w:tcPr>
            <w:tcW w:type="dxa" w:w="624"/>
            <w:vAlign w:val="center"/>
          </w:tcPr>
          <w:p>
            <w:pPr>
              <w:spacing w:after="0"/>
              <w:jc w:val="center"/>
            </w:pPr>
            <w:r>
              <w:rPr>
                <w:rFonts w:ascii="Arial" w:hAnsi="Arial"/>
                <w:sz w:val="16"/>
              </w:rPr>
              <w:t>4</w:t>
            </w:r>
          </w:p>
        </w:tc>
        <w:tc>
          <w:tcPr>
            <w:tcW w:type="dxa" w:w="2381"/>
            <w:vAlign w:val="center"/>
          </w:tcPr>
          <w:p>
            <w:pPr>
              <w:spacing w:after="0"/>
              <w:jc w:val="left"/>
            </w:pPr>
            <w:r>
              <w:rPr>
                <w:rFonts w:ascii="Arial" w:hAnsi="Arial"/>
                <w:sz w:val="16"/>
              </w:rPr>
              <w:t>Chirito Torres, Jose Raul</w:t>
            </w:r>
          </w:p>
        </w:tc>
        <w:tc>
          <w:tcPr>
            <w:tcW w:type="dxa" w:w="5783"/>
            <w:vAlign w:val="center"/>
          </w:tcPr>
          <w:p>
            <w:pPr>
              <w:spacing w:after="0"/>
              <w:jc w:val="left"/>
            </w:pPr>
            <w:r>
              <w:rPr>
                <w:rFonts w:ascii="Arial" w:hAnsi="Arial"/>
                <w:sz w:val="16"/>
              </w:rPr>
              <w:t>Aportes previos al informe y participación documental limitada durante TB1; no se identificó implementación atribuible en los repositorios de producto.</w:t>
            </w:r>
          </w:p>
        </w:tc>
        <w:tc>
          <w:tcPr>
            <w:tcW w:type="dxa" w:w="1701"/>
            <w:vAlign w:val="center"/>
            <w:shd w:fill="FFF2CC"/>
          </w:tcPr>
          <w:p>
            <w:pPr>
              <w:spacing w:after="0"/>
              <w:jc w:val="center"/>
            </w:pPr>
            <w:r>
              <w:rPr>
                <w:rFonts w:ascii="Arial" w:hAnsi="Arial"/>
                <w:sz w:val="16"/>
              </w:rPr>
              <w:t>Cumplió parcialmente</w:t>
            </w:r>
          </w:p>
        </w:tc>
        <w:tc>
          <w:tcPr>
            <w:tcW w:type="dxa" w:w="1247"/>
            <w:vAlign w:val="center"/>
            <w:shd w:fill="FFF2CC"/>
          </w:tcPr>
          <w:p>
            <w:pPr>
              <w:spacing w:after="0"/>
              <w:jc w:val="center"/>
            </w:pPr>
            <w:r>
              <w:rPr>
                <w:rFonts w:ascii="Arial" w:hAnsi="Arial"/>
                <w:sz w:val="16"/>
              </w:rPr>
              <w:t>8</w:t>
            </w:r>
          </w:p>
        </w:tc>
      </w:tr>
      <w:tr>
        <w:tc>
          <w:tcPr>
            <w:tcW w:type="dxa" w:w="624"/>
            <w:vAlign w:val="center"/>
          </w:tcPr>
          <w:p>
            <w:pPr>
              <w:spacing w:after="0"/>
              <w:jc w:val="center"/>
            </w:pPr>
            <w:r>
              <w:rPr>
                <w:rFonts w:ascii="Arial" w:hAnsi="Arial"/>
                <w:sz w:val="16"/>
              </w:rPr>
              <w:t>5</w:t>
            </w:r>
          </w:p>
        </w:tc>
        <w:tc>
          <w:tcPr>
            <w:tcW w:type="dxa" w:w="2381"/>
            <w:vAlign w:val="center"/>
          </w:tcPr>
          <w:p>
            <w:pPr>
              <w:spacing w:after="0"/>
              <w:jc w:val="left"/>
            </w:pPr>
            <w:r>
              <w:rPr>
                <w:rFonts w:ascii="Arial" w:hAnsi="Arial"/>
                <w:sz w:val="16"/>
              </w:rPr>
              <w:t>Loa Rojas, Jean Franck</w:t>
            </w:r>
          </w:p>
        </w:tc>
        <w:tc>
          <w:tcPr>
            <w:tcW w:type="dxa" w:w="5783"/>
            <w:vAlign w:val="center"/>
          </w:tcPr>
          <w:p>
            <w:pPr>
              <w:spacing w:after="0"/>
              <w:jc w:val="left"/>
            </w:pPr>
            <w:r>
              <w:rPr>
                <w:rFonts w:ascii="Arial" w:hAnsi="Arial"/>
                <w:sz w:val="16"/>
              </w:rPr>
              <w:t>Aplicación Android; build y lint; ejecución en emulador; reproducibilidad del backend; publicación del Landing Page; integración y verificación de evidencias TB1.</w:t>
            </w:r>
          </w:p>
        </w:tc>
        <w:tc>
          <w:tcPr>
            <w:tcW w:type="dxa" w:w="1701"/>
            <w:vAlign w:val="center"/>
            <w:shd w:fill="FFF2CC"/>
          </w:tcPr>
          <w:p>
            <w:pPr>
              <w:spacing w:after="0"/>
              <w:jc w:val="center"/>
            </w:pPr>
            <w:r>
              <w:rPr>
                <w:rFonts w:ascii="Arial" w:hAnsi="Arial"/>
                <w:sz w:val="16"/>
              </w:rPr>
              <w:t>Cumplió a tiempo</w:t>
            </w:r>
          </w:p>
        </w:tc>
        <w:tc>
          <w:tcPr>
            <w:tcW w:type="dxa" w:w="1247"/>
            <w:vAlign w:val="center"/>
            <w:shd w:fill="FFF2CC"/>
          </w:tcPr>
          <w:p>
            <w:pPr>
              <w:spacing w:after="0"/>
              <w:jc w:val="center"/>
            </w:pPr>
            <w:r>
              <w:rPr>
                <w:rFonts w:ascii="Arial" w:hAnsi="Arial"/>
                <w:sz w:val="16"/>
              </w:rPr>
              <w:t>20</w:t>
            </w:r>
          </w:p>
        </w:tc>
      </w:tr>
    </w:tbl>
    <w:p/>
    <w:p>
      <w:r>
        <w:rPr>
          <w:b/>
        </w:rPr>
        <w:t xml:space="preserve">Categorías del formato oficial: </w:t>
      </w:r>
      <w:r>
        <w:t>cumplió a tiempo; cumplió a destiempo; cumplió parcialmente; no cumplió (cero).</w:t>
      </w:r>
    </w:p>
    <w:tbl>
      <w:tblPr>
        <w:tblStyle w:val="TableGrid"/>
        <w:tblW w:type="auto" w:w="0"/>
        <w:tblLook w:firstColumn="1" w:firstRow="1" w:lastColumn="0" w:lastRow="0" w:noHBand="0" w:noVBand="1" w:val="04A0"/>
      </w:tblPr>
      <w:tblGrid>
        <w:gridCol w:w="7070"/>
        <w:gridCol w:w="7070"/>
      </w:tblGrid>
      <w:tr>
        <w:tc>
          <w:tcPr>
            <w:tcW w:type="dxa" w:w="7070"/>
            <w:shd w:fill="DCEAF4"/>
          </w:tcPr>
          <w:p>
            <w:r>
              <w:rPr>
                <w:b/>
              </w:rPr>
              <w:t>Team Leader</w:t>
            </w:r>
          </w:p>
        </w:tc>
        <w:tc>
          <w:tcPr>
            <w:tcW w:type="dxa" w:w="7070"/>
            <w:shd w:fill="DCEAF4"/>
          </w:tcPr>
          <w:p>
            <w:r>
              <w:rPr>
                <w:b/>
              </w:rPr>
              <w:t>Fecha de elaboración</w:t>
            </w:r>
          </w:p>
        </w:tc>
      </w:tr>
      <w:tr>
        <w:tc>
          <w:tcPr>
            <w:tcW w:type="dxa" w:w="7070"/>
          </w:tcPr>
          <w:p>
            <w:r>
              <w:t>Alexander Piero Fernandez Garfias</w:t>
            </w:r>
          </w:p>
        </w:tc>
        <w:tc>
          <w:tcPr>
            <w:tcW w:type="dxa" w:w="7070"/>
          </w:tcPr>
          <w:p>
            <w:r>
              <w:t>05/10/2026</w:t>
            </w:r>
          </w:p>
        </w:tc>
      </w:tr>
    </w:tbl>
    <w:sectPr w:rsidR="00FC693F" w:rsidRPr="0006063C" w:rsidSect="00034616">
      <w:footerReference w:type="default" r:id="rId9"/>
      <w:pgSz w:w="15840" w:h="12240" w:orient="landscape"/>
      <w:pgMar w:top="964"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Trakto Route - TB1 - Periodo 202620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