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Noorly Meta Ads and Ecommerce Conversion Research</w:t>
      </w:r>
    </w:p>
    <w:p>
      <w:r>
        <w:rPr>
          <w:b/>
        </w:rPr>
        <w:t>A sales plan for exactly 4000 SEK of total advertising spend</w:t>
      </w:r>
    </w:p>
    <w:p>
      <w:r>
        <w:rPr>
          <w:b w:val="0"/>
        </w:rPr>
        <w:t>20 October 2026 • Sweden • SEK • Europe Stockholm</w:t>
      </w:r>
    </w:p>
    <w:p>
      <w:pPr>
        <w:pStyle w:val="Heading2"/>
      </w:pPr>
      <w:r>
        <w:t>The recommendation</w:t>
      </w:r>
    </w:p>
    <w:p>
      <w:r>
        <w:rPr>
          <w:b w:val="0"/>
        </w:rPr>
        <w:t>Prepare one real, purchasable candle-sand offer and one clear mobile product page, then run one consolidated Meta Sales campaign optimized for Purchase. Allocate the full 4,000 SEK in three controlled releases. Use margin-based acquisition limits to decide when to continue, repair or pause.</w:t>
      </w:r>
    </w:p>
    <w:p>
      <w:r>
        <w:rPr>
          <w:b w:val="0"/>
        </w:rPr>
        <w:t>The immediate priority is launch readiness. The connected account has a paused sales campaign, but its selected pixel returned no recent events. The current Noorly repository describes a mock store and contains no implemented Meta advertising adapter. Buying traffic before checking these dependencies would expose the budget to avoidable loss.</w:t>
      </w:r>
    </w:p>
    <w:p>
      <w:pPr>
        <w:pStyle w:val="Heading2"/>
      </w:pPr>
      <w:r>
        <w:t>What this research establishes</w:t>
      </w:r>
    </w:p>
    <w:p>
      <w:pPr>
        <w:keepLines/>
      </w:pPr>
      <w:r>
        <w:rPr>
          <w:b/>
        </w:rPr>
        <w:t xml:space="preserve">Verified now. </w:t>
      </w:r>
      <w:r>
        <w:t>The Meta campaign configuration, selected dataset and recent dataset response were read directly. The Noorly GitHub default branch was reviewed at commit 0d130a4dcfdae84d277820b067baf587ba73b9c5. These observations are detailed on the next page.</w:t>
      </w:r>
    </w:p>
    <w:p>
      <w:pPr>
        <w:keepLines/>
      </w:pPr>
      <w:r>
        <w:rPr>
          <w:b/>
        </w:rPr>
        <w:t xml:space="preserve">Evidence reviewed. </w:t>
      </w:r>
      <w:r>
        <w:t>Primary material from Meta, Baymard, Google, Shopify, BCG and Swedish authorities. Platform guidance, repeated usability findings, a randomized performance case study and vendor-associated observational studies are distinguished throughout.</w:t>
      </w:r>
    </w:p>
    <w:p>
      <w:pPr>
        <w:keepLines/>
      </w:pPr>
      <w:r>
        <w:rPr>
          <w:b/>
        </w:rPr>
        <w:t xml:space="preserve">Still unknown. </w:t>
      </w:r>
      <w:r>
        <w:t>Actual product economics, current Shopify inventory and payment settings, prior spend against this 4,000 SEK allocation, and the deployed checkout state. The intended domain did not load in the research browser. This does not establish a public outage.</w:t>
      </w:r>
    </w:p>
    <w:p>
      <w:pPr>
        <w:pStyle w:val="Heading2"/>
      </w:pPr>
      <w:r>
        <w:t>The budget commitment</w:t>
      </w:r>
    </w:p>
    <w:tbl>
      <w:tblPr>
        <w:tblW w:type="auto" w:w="0"/>
        <w:jc w:val="center"/>
        <w:tblLayout w:type="fixed"/>
        <w:tblLook w:firstColumn="1" w:firstRow="1" w:lastColumn="0" w:lastRow="0" w:noHBand="0" w:noVBand="1" w:val="04A0"/>
      </w:tblPr>
      <w:tblGrid>
        <w:gridCol w:w="5328"/>
        <w:gridCol w:w="2592"/>
        <w:gridCol w:w="2160"/>
      </w:tblGrid>
      <w:tr>
        <w:trPr>
          <w:tblHeader/>
          <w:cantSplit/>
        </w:trPr>
        <w:tc>
          <w:tcPr>
            <w:tcW w:type="dxa" w:w="5328"/>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Release</w:t>
            </w:r>
          </w:p>
        </w:tc>
        <w:tc>
          <w:tcPr>
            <w:tcW w:type="dxa" w:w="2592"/>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Additional spend</w:t>
            </w:r>
          </w:p>
        </w:tc>
        <w:tc>
          <w:tcPr>
            <w:tcW w:type="dxa" w:w="2160"/>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Share</w:t>
            </w:r>
          </w:p>
        </w:tc>
      </w:tr>
      <w:tr>
        <w:trPr>
          <w:cantSplit/>
        </w:trPr>
        <w:tc>
          <w:tcPr>
            <w:tcW w:type="dxa" w:w="532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Validate the offer and funnel</w:t>
            </w:r>
          </w:p>
        </w:tc>
        <w:tc>
          <w:tcPr>
            <w:tcW w:type="dxa" w:w="259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1,000 SEK</w:t>
            </w:r>
          </w:p>
        </w:tc>
        <w:tc>
          <w:tcPr>
            <w:tcW w:type="dxa" w:w="216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25%</w:t>
            </w:r>
          </w:p>
        </w:tc>
      </w:tr>
      <w:tr>
        <w:trPr>
          <w:cantSplit/>
        </w:trPr>
        <w:tc>
          <w:tcPr>
            <w:tcW w:type="dxa" w:w="532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Concentrate on the strongest evidence</w:t>
            </w:r>
          </w:p>
        </w:tc>
        <w:tc>
          <w:tcPr>
            <w:tcW w:type="dxa" w:w="259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2,400 SEK</w:t>
            </w:r>
          </w:p>
        </w:tc>
        <w:tc>
          <w:tcPr>
            <w:tcW w:type="dxa" w:w="2160"/>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60%</w:t>
            </w:r>
          </w:p>
        </w:tc>
      </w:tr>
      <w:tr>
        <w:trPr>
          <w:cantSplit/>
        </w:trPr>
        <w:tc>
          <w:tcPr>
            <w:tcW w:type="dxa" w:w="532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Complete the allocation after reconciliation</w:t>
            </w:r>
          </w:p>
        </w:tc>
        <w:tc>
          <w:tcPr>
            <w:tcW w:type="dxa" w:w="259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600 SEK</w:t>
            </w:r>
          </w:p>
        </w:tc>
        <w:tc>
          <w:tcPr>
            <w:tcW w:type="dxa" w:w="216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15%</w:t>
            </w:r>
          </w:p>
        </w:tc>
      </w:tr>
      <w:tr>
        <w:trPr>
          <w:cantSplit/>
        </w:trPr>
        <w:tc>
          <w:tcPr>
            <w:tcW w:type="dxa" w:w="532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Total planned media spend</w:t>
            </w:r>
          </w:p>
        </w:tc>
        <w:tc>
          <w:tcPr>
            <w:tcW w:type="dxa" w:w="259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4,000 SEK</w:t>
            </w:r>
          </w:p>
        </w:tc>
        <w:tc>
          <w:tcPr>
            <w:tcW w:type="dxa" w:w="2160"/>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100%</w:t>
            </w:r>
          </w:p>
        </w:tc>
      </w:tr>
    </w:tbl>
    <w:p>
      <w:pPr>
        <w:spacing w:after="0"/>
      </w:pPr>
    </w:p>
    <w:p>
      <w:r>
        <w:rPr>
          <w:b w:val="0"/>
        </w:rPr>
        <w:t>All 4,000 SEK is earmarked for media. Pauses defer deployment while a problem is repaired. Meta can underdeliver; neither exact spend to the final öre nor a sale from every advertising krona can be guaranteed. No ads were activated, budgets changed or code modified during this research.</w:t>
      </w:r>
    </w:p>
    <w:p>
      <w:r>
        <w:br w:type="page"/>
      </w:r>
    </w:p>
    <w:p>
      <w:pPr>
        <w:pStyle w:val="Heading1"/>
      </w:pPr>
      <w:r>
        <w:t>What the connected setup actually shows</w:t>
      </w:r>
    </w:p>
    <w:tbl>
      <w:tblPr>
        <w:tblW w:type="auto" w:w="0"/>
        <w:jc w:val="center"/>
        <w:tblLayout w:type="fixed"/>
        <w:tblLook w:firstColumn="1" w:firstRow="1" w:lastColumn="0" w:lastRow="0" w:noHBand="0" w:noVBand="1" w:val="04A0"/>
      </w:tblPr>
      <w:tblGrid>
        <w:gridCol w:w="1512"/>
        <w:gridCol w:w="4824"/>
        <w:gridCol w:w="3744"/>
      </w:tblGrid>
      <w:tr>
        <w:trPr>
          <w:tblHeader/>
          <w:cantSplit/>
        </w:trPr>
        <w:tc>
          <w:tcPr>
            <w:tcW w:type="dxa" w:w="1512"/>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Area</w:t>
            </w:r>
          </w:p>
        </w:tc>
        <w:tc>
          <w:tcPr>
            <w:tcW w:type="dxa" w:w="4824"/>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Observation</w:t>
            </w:r>
          </w:p>
        </w:tc>
        <w:tc>
          <w:tcPr>
            <w:tcW w:type="dxa" w:w="3744"/>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Consequence</w:t>
            </w:r>
          </w:p>
        </w:tc>
      </w:tr>
      <w:tr>
        <w:trPr>
          <w:cantSplit/>
        </w:trPr>
        <w:tc>
          <w:tcPr>
            <w:tcW w:type="dxa" w:w="151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Ad account</w:t>
            </w:r>
          </w:p>
        </w:tc>
        <w:tc>
          <w:tcPr>
            <w:tcW w:type="dxa" w:w="482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Noorly - Ad Account, ending 9342. Active, SEK, payment method present.</w:t>
            </w:r>
          </w:p>
        </w:tc>
        <w:tc>
          <w:tcPr>
            <w:tcW w:type="dxa" w:w="374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Use this account for the plan; do not split into the other accounts.</w:t>
            </w:r>
          </w:p>
        </w:tc>
      </w:tr>
      <w:tr>
        <w:trPr>
          <w:cantSplit/>
        </w:trPr>
        <w:tc>
          <w:tcPr>
            <w:tcW w:type="dxa" w:w="151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Campaign</w:t>
            </w:r>
          </w:p>
        </w:tc>
        <w:tc>
          <w:tcPr>
            <w:tcW w:type="dxa" w:w="482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One returned Sales campaign is PAUSED. Daily budget 50 SEK; campaign spending cap 4,000 SEK.</w:t>
            </w:r>
          </w:p>
        </w:tc>
        <w:tc>
          <w:tcPr>
            <w:tcW w:type="dxa" w:w="374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The campaign cap exists. An account-wide remaining allowance was not verified.</w:t>
            </w:r>
          </w:p>
        </w:tc>
      </w:tr>
      <w:tr>
        <w:trPr>
          <w:cantSplit/>
        </w:trPr>
        <w:tc>
          <w:tcPr>
            <w:tcW w:type="dxa" w:w="151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Ad set</w:t>
            </w:r>
          </w:p>
        </w:tc>
        <w:tc>
          <w:tcPr>
            <w:tcW w:type="dxa" w:w="482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One returned paused candle-sand ad set. Website Purchase event, broad Sweden audience, Advantage audience and multiple placements.</w:t>
            </w:r>
          </w:p>
        </w:tc>
        <w:tc>
          <w:tcPr>
            <w:tcW w:type="dxa" w:w="374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Its broad structure already fits consolidation. Readiness and signal quality are the gaps.</w:t>
            </w:r>
          </w:p>
        </w:tc>
      </w:tr>
      <w:tr>
        <w:trPr>
          <w:cantSplit/>
        </w:trPr>
        <w:tc>
          <w:tcPr>
            <w:tcW w:type="dxa" w:w="151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Dataset</w:t>
            </w:r>
          </w:p>
        </w:tc>
        <w:tc>
          <w:tcPr>
            <w:tcW w:type="dxa" w:w="482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Selected pixel 511816900240916. Last browser event reported in June 2022; server date is an epoch placeholder.</w:t>
            </w:r>
          </w:p>
        </w:tc>
        <w:tc>
          <w:tcPr>
            <w:tcW w:type="dxa" w:w="374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An active flag alone does not establish functional tracking.</w:t>
            </w:r>
          </w:p>
        </w:tc>
      </w:tr>
      <w:tr>
        <w:trPr>
          <w:cantSplit/>
        </w:trPr>
        <w:tc>
          <w:tcPr>
            <w:tcW w:type="dxa" w:w="151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Recent events</w:t>
            </w:r>
          </w:p>
        </w:tc>
        <w:tc>
          <w:tcPr>
            <w:tcW w:type="dxa" w:w="482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Event and host queries for the default last seven days returned empty arrays.</w:t>
            </w:r>
          </w:p>
        </w:tc>
        <w:tc>
          <w:tcPr>
            <w:tcW w:type="dxa" w:w="374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Verify the correct dataset with new test activity before spending.</w:t>
            </w:r>
          </w:p>
        </w:tc>
      </w:tr>
      <w:tr>
        <w:trPr>
          <w:cantSplit/>
        </w:trPr>
        <w:tc>
          <w:tcPr>
            <w:tcW w:type="dxa" w:w="151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Live ads and results</w:t>
            </w:r>
          </w:p>
        </w:tc>
        <w:tc>
          <w:tcPr>
            <w:tcW w:type="dxa" w:w="482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No live ads returned. Requested spend and purchase metrics were omitted. Draft reads were unavailable for this account.</w:t>
            </w:r>
          </w:p>
        </w:tc>
        <w:tc>
          <w:tcPr>
            <w:tcW w:type="dxa" w:w="374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Do not interpret missing metrics as zero historical spend or zero sales.</w:t>
            </w:r>
          </w:p>
        </w:tc>
      </w:tr>
      <w:tr>
        <w:trPr>
          <w:cantSplit/>
        </w:trPr>
        <w:tc>
          <w:tcPr>
            <w:tcW w:type="dxa" w:w="151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Repository</w:t>
            </w:r>
          </w:p>
        </w:tc>
        <w:tc>
          <w:tcPr>
            <w:tcW w:type="dxa" w:w="482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1Alsaad/noorly-gifting. Setup note says the delivered site remains in mock mode; environment default is mock.</w:t>
            </w:r>
          </w:p>
        </w:tc>
        <w:tc>
          <w:tcPr>
            <w:tcW w:type="dxa" w:w="374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Confirm actual production configuration and Shopify checkout independently.</w:t>
            </w:r>
          </w:p>
        </w:tc>
      </w:tr>
      <w:tr>
        <w:trPr>
          <w:cantSplit/>
        </w:trPr>
        <w:tc>
          <w:tcPr>
            <w:tcW w:type="dxa" w:w="151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Live site</w:t>
            </w:r>
          </w:p>
        </w:tc>
        <w:tc>
          <w:tcPr>
            <w:tcW w:type="dxa" w:w="482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noorly.se failed to load from this browser. Hosting project was discoverable; deployment access returned 403.</w:t>
            </w:r>
          </w:p>
        </w:tc>
        <w:tc>
          <w:tcPr>
            <w:tcW w:type="dxa" w:w="374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Live visual, speed and checkout audits remain unverified.</w:t>
            </w:r>
          </w:p>
        </w:tc>
      </w:tr>
    </w:tbl>
    <w:p>
      <w:pPr>
        <w:spacing w:after="0"/>
      </w:pPr>
    </w:p>
    <w:p>
      <w:r>
        <w:rPr>
          <w:b w:val="0"/>
        </w:rPr>
        <w:t>Source: connected Meta reads and GitHub inspection on 20 October 2026. Campaign 120251947281020015 and ad set 120251947284140015. The 19 October handover is useful background, but newer live account observations supersede its statement that no accounts were connected.</w:t>
      </w:r>
    </w:p>
    <w:p>
      <w:r>
        <w:rPr>
          <w:b w:val="0"/>
        </w:rPr>
        <w:t>Existing creatives include both candle-sand sales copy and older “express interest, no orders” copy. Creative status ACTIVE only describes the creative asset; it does not mean an ad is delivering. Never attach an interest-only message to a purchase campaign.</w:t>
      </w:r>
    </w:p>
    <w:p>
      <w:r>
        <w:br w:type="page"/>
      </w:r>
    </w:p>
    <w:p>
      <w:pPr>
        <w:pStyle w:val="Heading1"/>
      </w:pPr>
      <w:r>
        <w:t>Calculate the maximum affordable acquisition cost</w:t>
      </w:r>
    </w:p>
    <w:p>
      <w:r>
        <w:rPr>
          <w:b w:val="0"/>
        </w:rPr>
        <w:t>Cost per acquisition, or CPA, is advertising spend divided by paid orders. For this launch, evaluate acquisition of new customers and first-order contribution. Do not use unverified lifetime value to justify losing money today.</w:t>
      </w:r>
    </w:p>
    <w:p>
      <w:pPr>
        <w:pStyle w:val="Heading2"/>
      </w:pPr>
      <w:r>
        <w:t>Use these calculation steps</w:t>
      </w:r>
    </w:p>
    <w:p>
      <w:pPr>
        <w:keepLines/>
      </w:pPr>
      <w:r>
        <w:rPr>
          <w:b/>
        </w:rPr>
        <w:t xml:space="preserve">1  Net receipts. </w:t>
      </w:r>
      <w:r>
        <w:t>Start with the customer payment after discounts, including any delivery charge collected. Remove the actual output VAT by rate. If products have different rates, calculate the lines separately.</w:t>
      </w:r>
    </w:p>
    <w:p>
      <w:pPr>
        <w:keepLines/>
      </w:pPr>
      <w:r>
        <w:rPr>
          <w:b/>
        </w:rPr>
        <w:t xml:space="preserve">2  Variable costs. </w:t>
      </w:r>
      <w:r>
        <w:t>Deduct landed product cost, packaging, fulfilment, outbound shipping, payment fees and expected net returns or refund burden. Use costs excluding recoverable input VAT; include nonrecoverable taxes and charges. Avoid counting shipping subsidy and full shipping cost twice.</w:t>
      </w:r>
    </w:p>
    <w:p>
      <w:pPr>
        <w:keepLines/>
      </w:pPr>
      <w:r>
        <w:rPr>
          <w:b/>
        </w:rPr>
        <w:t xml:space="preserve">3  Contribution before ads. </w:t>
      </w:r>
      <w:r>
        <w:t>Net receipts minus those variable costs is the break-even CPA for an order before fixed overhead. Advertising at that CPA leaves no contribution toward salaries, software or profit.</w:t>
      </w:r>
    </w:p>
    <w:p>
      <w:pPr>
        <w:keepLines/>
      </w:pPr>
      <w:r>
        <w:rPr>
          <w:b/>
        </w:rPr>
        <w:t xml:space="preserve">4  Operating target. </w:t>
      </w:r>
      <w:r>
        <w:t>As a conservative starting policy, set target CPA to 70% of contribution before ads. The remaining 30% is a buffer toward overhead and profit. This is a proposed management rule, not an industry benchmark.</w:t>
      </w:r>
    </w:p>
    <w:p>
      <w:pPr>
        <w:keepLines/>
      </w:pPr>
      <w:r>
        <w:rPr>
          <w:b/>
        </w:rPr>
        <w:t xml:space="preserve">5  Compare revenue consistently. </w:t>
      </w:r>
      <w:r>
        <w:t>If Meta ROAS uses gross purchase value, divide that same gross value by target CPA for the target gross ROAS. Do not compare a VAT-inclusive platform ROAS with a VAT-exclusive margin ratio.</w:t>
      </w:r>
    </w:p>
    <w:p>
      <w:pPr>
        <w:pStyle w:val="Heading2"/>
      </w:pPr>
      <w:r>
        <w:t>Illustrative first order economics</w:t>
      </w:r>
    </w:p>
    <w:p>
      <w:r>
        <w:rPr>
          <w:b w:val="0"/>
        </w:rPr>
        <w:t>These are calculation examples only. None is a verified Noorly selling price, cost or forecast. The example assumes one 25% VAT rate on the full customer receipt.</w:t>
      </w:r>
    </w:p>
    <w:tbl>
      <w:tblPr>
        <w:tblW w:type="auto" w:w="0"/>
        <w:jc w:val="center"/>
        <w:tblLayout w:type="fixed"/>
        <w:tblLook w:firstColumn="1" w:firstRow="1" w:lastColumn="0" w:lastRow="0" w:noHBand="0" w:noVBand="1" w:val="04A0"/>
      </w:tblPr>
      <w:tblGrid>
        <w:gridCol w:w="4032"/>
        <w:gridCol w:w="2016"/>
        <w:gridCol w:w="2016"/>
        <w:gridCol w:w="2016"/>
      </w:tblGrid>
      <w:tr>
        <w:trPr>
          <w:tblHeader/>
          <w:cantSplit/>
        </w:trPr>
        <w:tc>
          <w:tcPr>
            <w:tcW w:type="dxa" w:w="4032"/>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SEK per paid order</w:t>
            </w:r>
          </w:p>
        </w:tc>
        <w:tc>
          <w:tcPr>
            <w:tcW w:type="dxa" w:w="2016"/>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Low basket</w:t>
            </w:r>
          </w:p>
        </w:tc>
        <w:tc>
          <w:tcPr>
            <w:tcW w:type="dxa" w:w="2016"/>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Single offer</w:t>
            </w:r>
          </w:p>
        </w:tc>
        <w:tc>
          <w:tcPr>
            <w:tcW w:type="dxa" w:w="2016"/>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Higher basket</w:t>
            </w:r>
          </w:p>
        </w:tc>
      </w:tr>
      <w:tr>
        <w:trPr>
          <w:cantSplit/>
        </w:trPr>
        <w:tc>
          <w:tcPr>
            <w:tcW w:type="dxa" w:w="403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Gross customer receipt</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199</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329</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499</w:t>
            </w:r>
          </w:p>
        </w:tc>
      </w:tr>
      <w:tr>
        <w:trPr>
          <w:cantSplit/>
        </w:trPr>
        <w:tc>
          <w:tcPr>
            <w:tcW w:type="dxa" w:w="403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Receipt excluding assumed VAT</w:t>
            </w:r>
          </w:p>
        </w:tc>
        <w:tc>
          <w:tcPr>
            <w:tcW w:type="dxa" w:w="201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159.20</w:t>
            </w:r>
          </w:p>
        </w:tc>
        <w:tc>
          <w:tcPr>
            <w:tcW w:type="dxa" w:w="201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263.20</w:t>
            </w:r>
          </w:p>
        </w:tc>
        <w:tc>
          <w:tcPr>
            <w:tcW w:type="dxa" w:w="201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399.20</w:t>
            </w:r>
          </w:p>
        </w:tc>
      </w:tr>
      <w:tr>
        <w:trPr>
          <w:cantSplit/>
        </w:trPr>
        <w:tc>
          <w:tcPr>
            <w:tcW w:type="dxa" w:w="403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Landed product cost</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55</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75</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120</w:t>
            </w:r>
          </w:p>
        </w:tc>
      </w:tr>
      <w:tr>
        <w:trPr>
          <w:cantSplit/>
        </w:trPr>
        <w:tc>
          <w:tcPr>
            <w:tcW w:type="dxa" w:w="403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Packaging and handling</w:t>
            </w:r>
          </w:p>
        </w:tc>
        <w:tc>
          <w:tcPr>
            <w:tcW w:type="dxa" w:w="201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w:t>
            </w:r>
          </w:p>
        </w:tc>
        <w:tc>
          <w:tcPr>
            <w:tcW w:type="dxa" w:w="201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12</w:t>
            </w:r>
          </w:p>
        </w:tc>
        <w:tc>
          <w:tcPr>
            <w:tcW w:type="dxa" w:w="201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15</w:t>
            </w:r>
          </w:p>
        </w:tc>
      </w:tr>
      <w:tr>
        <w:trPr>
          <w:cantSplit/>
        </w:trPr>
        <w:tc>
          <w:tcPr>
            <w:tcW w:type="dxa" w:w="403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Outbound shipping cost</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49</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49</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49</w:t>
            </w:r>
          </w:p>
        </w:tc>
      </w:tr>
      <w:tr>
        <w:trPr>
          <w:cantSplit/>
        </w:trPr>
        <w:tc>
          <w:tcPr>
            <w:tcW w:type="dxa" w:w="403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Payment fees</w:t>
            </w:r>
          </w:p>
        </w:tc>
        <w:tc>
          <w:tcPr>
            <w:tcW w:type="dxa" w:w="201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8</w:t>
            </w:r>
          </w:p>
        </w:tc>
        <w:tc>
          <w:tcPr>
            <w:tcW w:type="dxa" w:w="201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11</w:t>
            </w:r>
          </w:p>
        </w:tc>
        <w:tc>
          <w:tcPr>
            <w:tcW w:type="dxa" w:w="201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15</w:t>
            </w:r>
          </w:p>
        </w:tc>
      </w:tr>
      <w:tr>
        <w:trPr>
          <w:cantSplit/>
        </w:trPr>
        <w:tc>
          <w:tcPr>
            <w:tcW w:type="dxa" w:w="403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Expected net returns burden</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8</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9</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w:t>
            </w:r>
          </w:p>
        </w:tc>
      </w:tr>
      <w:tr>
        <w:trPr>
          <w:cantSplit/>
        </w:trPr>
        <w:tc>
          <w:tcPr>
            <w:tcW w:type="dxa" w:w="403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Contribution before advertising</w:t>
            </w:r>
          </w:p>
        </w:tc>
        <w:tc>
          <w:tcPr>
            <w:tcW w:type="dxa" w:w="201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29.20</w:t>
            </w:r>
          </w:p>
        </w:tc>
        <w:tc>
          <w:tcPr>
            <w:tcW w:type="dxa" w:w="201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107.20</w:t>
            </w:r>
          </w:p>
        </w:tc>
        <w:tc>
          <w:tcPr>
            <w:tcW w:type="dxa" w:w="201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190.20</w:t>
            </w:r>
          </w:p>
        </w:tc>
      </w:tr>
      <w:tr>
        <w:trPr>
          <w:cantSplit/>
        </w:trPr>
        <w:tc>
          <w:tcPr>
            <w:tcW w:type="dxa" w:w="403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Target CPA at 70%</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20.44</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75.04</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133.14</w:t>
            </w:r>
          </w:p>
        </w:tc>
      </w:tr>
      <w:tr>
        <w:trPr>
          <w:cantSplit/>
        </w:trPr>
        <w:tc>
          <w:tcPr>
            <w:tcW w:type="dxa" w:w="403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Break-even gross ROAS</w:t>
            </w:r>
          </w:p>
        </w:tc>
        <w:tc>
          <w:tcPr>
            <w:tcW w:type="dxa" w:w="201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6.82</w:t>
            </w:r>
          </w:p>
        </w:tc>
        <w:tc>
          <w:tcPr>
            <w:tcW w:type="dxa" w:w="201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3.07</w:t>
            </w:r>
          </w:p>
        </w:tc>
        <w:tc>
          <w:tcPr>
            <w:tcW w:type="dxa" w:w="201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2.62</w:t>
            </w:r>
          </w:p>
        </w:tc>
      </w:tr>
      <w:tr>
        <w:trPr>
          <w:cantSplit/>
        </w:trPr>
        <w:tc>
          <w:tcPr>
            <w:tcW w:type="dxa" w:w="403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Target gross ROAS</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9.74</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4.38</w:t>
            </w:r>
          </w:p>
        </w:tc>
        <w:tc>
          <w:tcPr>
            <w:tcW w:type="dxa" w:w="201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3.75</w:t>
            </w:r>
          </w:p>
        </w:tc>
      </w:tr>
    </w:tbl>
    <w:p>
      <w:pPr>
        <w:spacing w:after="0"/>
      </w:pPr>
    </w:p>
    <w:p>
      <w:r>
        <w:br w:type="page"/>
      </w:r>
    </w:p>
    <w:p>
      <w:pPr>
        <w:pStyle w:val="Heading1"/>
      </w:pPr>
      <w:r>
        <w:t>What 4000 SEK can buy under different assumptions</w:t>
      </w:r>
    </w:p>
    <w:p>
      <w:r>
        <w:rPr>
          <w:b w:val="0"/>
        </w:rPr>
        <w:t>A low-priced item can be difficult to acquire profitably once delivery is included. A real bundle may help if it increases contribution per order and remains easy to understand. A higher average order value alone does not establish a better offer.</w:t>
      </w:r>
    </w:p>
    <w:p>
      <w:r>
        <w:rPr>
          <w:b w:val="0"/>
        </w:rPr>
        <w:t>There is no reliable Swedish candle-sand CPA forecast in the available account history. Use transparent scenarios instead of borrowing a broad ecommerce average. The following table assumes all 4,000 SEK remains available and every paid click becomes a landing visit.</w:t>
      </w:r>
    </w:p>
    <w:tbl>
      <w:tblPr>
        <w:tblW w:type="auto" w:w="0"/>
        <w:jc w:val="center"/>
        <w:tblLayout w:type="fixed"/>
        <w:tblLook w:firstColumn="1" w:firstRow="1" w:lastColumn="0" w:lastRow="0" w:noHBand="0" w:noVBand="1" w:val="04A0"/>
      </w:tblPr>
      <w:tblGrid>
        <w:gridCol w:w="1728"/>
        <w:gridCol w:w="1584"/>
        <w:gridCol w:w="1944"/>
        <w:gridCol w:w="2448"/>
        <w:gridCol w:w="2376"/>
      </w:tblGrid>
      <w:tr>
        <w:trPr>
          <w:tblHeader/>
          <w:cantSplit/>
        </w:trPr>
        <w:tc>
          <w:tcPr>
            <w:tcW w:type="dxa" w:w="1728"/>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Click cost</w:t>
            </w:r>
          </w:p>
        </w:tc>
        <w:tc>
          <w:tcPr>
            <w:tcW w:type="dxa" w:w="1584"/>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Visits</w:t>
            </w:r>
          </w:p>
        </w:tc>
        <w:tc>
          <w:tcPr>
            <w:tcW w:type="dxa" w:w="1944"/>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Purchase rate</w:t>
            </w:r>
          </w:p>
        </w:tc>
        <w:tc>
          <w:tcPr>
            <w:tcW w:type="dxa" w:w="2448"/>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Expected orders</w:t>
            </w:r>
          </w:p>
        </w:tc>
        <w:tc>
          <w:tcPr>
            <w:tcW w:type="dxa" w:w="2376"/>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Implied CPA</w:t>
            </w:r>
          </w:p>
        </w:tc>
      </w:tr>
      <w:tr>
        <w:trPr>
          <w:cantSplit/>
        </w:trPr>
        <w:tc>
          <w:tcPr>
            <w:tcW w:type="dxa" w:w="172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 SEK</w:t>
            </w:r>
          </w:p>
        </w:tc>
        <w:tc>
          <w:tcPr>
            <w:tcW w:type="dxa" w:w="158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2,000</w:t>
            </w:r>
          </w:p>
        </w:tc>
        <w:tc>
          <w:tcPr>
            <w:tcW w:type="dxa" w:w="194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w:t>
            </w:r>
          </w:p>
        </w:tc>
        <w:tc>
          <w:tcPr>
            <w:tcW w:type="dxa" w:w="244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20</w:t>
            </w:r>
          </w:p>
        </w:tc>
        <w:tc>
          <w:tcPr>
            <w:tcW w:type="dxa" w:w="237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200 SEK</w:t>
            </w:r>
          </w:p>
        </w:tc>
      </w:tr>
      <w:tr>
        <w:trPr>
          <w:cantSplit/>
        </w:trPr>
        <w:tc>
          <w:tcPr>
            <w:tcW w:type="dxa" w:w="172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 SEK</w:t>
            </w:r>
          </w:p>
        </w:tc>
        <w:tc>
          <w:tcPr>
            <w:tcW w:type="dxa" w:w="158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2,000</w:t>
            </w:r>
          </w:p>
        </w:tc>
        <w:tc>
          <w:tcPr>
            <w:tcW w:type="dxa" w:w="194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w:t>
            </w:r>
          </w:p>
        </w:tc>
        <w:tc>
          <w:tcPr>
            <w:tcW w:type="dxa" w:w="244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40</w:t>
            </w:r>
          </w:p>
        </w:tc>
        <w:tc>
          <w:tcPr>
            <w:tcW w:type="dxa" w:w="237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100 SEK</w:t>
            </w:r>
          </w:p>
        </w:tc>
      </w:tr>
      <w:tr>
        <w:trPr>
          <w:cantSplit/>
        </w:trPr>
        <w:tc>
          <w:tcPr>
            <w:tcW w:type="dxa" w:w="172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 SEK</w:t>
            </w:r>
          </w:p>
        </w:tc>
        <w:tc>
          <w:tcPr>
            <w:tcW w:type="dxa" w:w="158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1,000</w:t>
            </w:r>
          </w:p>
        </w:tc>
        <w:tc>
          <w:tcPr>
            <w:tcW w:type="dxa" w:w="194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w:t>
            </w:r>
          </w:p>
        </w:tc>
        <w:tc>
          <w:tcPr>
            <w:tcW w:type="dxa" w:w="244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w:t>
            </w:r>
          </w:p>
        </w:tc>
        <w:tc>
          <w:tcPr>
            <w:tcW w:type="dxa" w:w="237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400 SEK</w:t>
            </w:r>
          </w:p>
        </w:tc>
      </w:tr>
      <w:tr>
        <w:trPr>
          <w:cantSplit/>
        </w:trPr>
        <w:tc>
          <w:tcPr>
            <w:tcW w:type="dxa" w:w="172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 SEK</w:t>
            </w:r>
          </w:p>
        </w:tc>
        <w:tc>
          <w:tcPr>
            <w:tcW w:type="dxa" w:w="158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1,000</w:t>
            </w:r>
          </w:p>
        </w:tc>
        <w:tc>
          <w:tcPr>
            <w:tcW w:type="dxa" w:w="194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w:t>
            </w:r>
          </w:p>
        </w:tc>
        <w:tc>
          <w:tcPr>
            <w:tcW w:type="dxa" w:w="244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20</w:t>
            </w:r>
          </w:p>
        </w:tc>
        <w:tc>
          <w:tcPr>
            <w:tcW w:type="dxa" w:w="237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200 SEK</w:t>
            </w:r>
          </w:p>
        </w:tc>
      </w:tr>
      <w:tr>
        <w:trPr>
          <w:cantSplit/>
        </w:trPr>
        <w:tc>
          <w:tcPr>
            <w:tcW w:type="dxa" w:w="172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 SEK</w:t>
            </w:r>
          </w:p>
        </w:tc>
        <w:tc>
          <w:tcPr>
            <w:tcW w:type="dxa" w:w="158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1,000</w:t>
            </w:r>
          </w:p>
        </w:tc>
        <w:tc>
          <w:tcPr>
            <w:tcW w:type="dxa" w:w="194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3%</w:t>
            </w:r>
          </w:p>
        </w:tc>
        <w:tc>
          <w:tcPr>
            <w:tcW w:type="dxa" w:w="244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30</w:t>
            </w:r>
          </w:p>
        </w:tc>
        <w:tc>
          <w:tcPr>
            <w:tcW w:type="dxa" w:w="237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133.33 SEK</w:t>
            </w:r>
          </w:p>
        </w:tc>
      </w:tr>
      <w:tr>
        <w:trPr>
          <w:cantSplit/>
        </w:trPr>
        <w:tc>
          <w:tcPr>
            <w:tcW w:type="dxa" w:w="172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6 SEK</w:t>
            </w:r>
          </w:p>
        </w:tc>
        <w:tc>
          <w:tcPr>
            <w:tcW w:type="dxa" w:w="158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667</w:t>
            </w:r>
          </w:p>
        </w:tc>
        <w:tc>
          <w:tcPr>
            <w:tcW w:type="dxa" w:w="194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w:t>
            </w:r>
          </w:p>
        </w:tc>
        <w:tc>
          <w:tcPr>
            <w:tcW w:type="dxa" w:w="244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13.3</w:t>
            </w:r>
          </w:p>
        </w:tc>
        <w:tc>
          <w:tcPr>
            <w:tcW w:type="dxa" w:w="237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300 SEK</w:t>
            </w:r>
          </w:p>
        </w:tc>
      </w:tr>
      <w:tr>
        <w:trPr>
          <w:cantSplit/>
        </w:trPr>
        <w:tc>
          <w:tcPr>
            <w:tcW w:type="dxa" w:w="172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6 SEK</w:t>
            </w:r>
          </w:p>
        </w:tc>
        <w:tc>
          <w:tcPr>
            <w:tcW w:type="dxa" w:w="158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667</w:t>
            </w:r>
          </w:p>
        </w:tc>
        <w:tc>
          <w:tcPr>
            <w:tcW w:type="dxa" w:w="194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3%</w:t>
            </w:r>
          </w:p>
        </w:tc>
        <w:tc>
          <w:tcPr>
            <w:tcW w:type="dxa" w:w="244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20</w:t>
            </w:r>
          </w:p>
        </w:tc>
        <w:tc>
          <w:tcPr>
            <w:tcW w:type="dxa" w:w="237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200 SEK</w:t>
            </w:r>
          </w:p>
        </w:tc>
      </w:tr>
    </w:tbl>
    <w:p>
      <w:pPr>
        <w:spacing w:after="0"/>
      </w:pPr>
    </w:p>
    <w:p>
      <w:r>
        <w:rPr>
          <w:b w:val="0"/>
        </w:rPr>
        <w:t>Expected orders are mathematical averages, not promised results. At 4 SEK per click and a 2% conversion rate, 20 orders would cost 200 SEK each. In the higher-basket example, 20 × 190.20 SEK contribution minus 4,000 SEK advertising equals a 196 SEK loss before fixed overhead.</w:t>
      </w:r>
    </w:p>
    <w:p>
      <w:pPr>
        <w:pStyle w:val="Heading2"/>
      </w:pPr>
      <w:r>
        <w:t>Translate economics into a page requirement</w:t>
      </w:r>
    </w:p>
    <w:p>
      <w:r>
        <w:rPr>
          <w:b w:val="0"/>
        </w:rPr>
        <w:t>Required purchase rate from paid landing visits equals cost per landing visit divided by target CPA. With a 133.14 SEK target and a 4 SEK landing-visit cost, the required rate is about 3.00%. If only 80% of 4 SEK clicks become measurable landing visits, visit cost becomes 5 SEK and the required rate rises to about 3.76%.</w:t>
      </w:r>
    </w:p>
    <w:p>
      <w:r>
        <w:rPr>
          <w:b w:val="0"/>
        </w:rPr>
        <w:t>This is why ad quality and CRO must be managed together. Cheap clicks can still lose money when they do not produce paid orders. A 20% increase in conversion rate reduces CPA by about 16.7% if traffic costs remain unchanged; it does not reduce CPA by 20%.</w:t>
      </w:r>
    </w:p>
    <w:p>
      <w:pPr>
        <w:pStyle w:val="Heading2"/>
      </w:pPr>
      <w:r>
        <w:t>The fixed budget limits what we can prove</w:t>
      </w:r>
    </w:p>
    <w:p>
      <w:r>
        <w:rPr>
          <w:b w:val="0"/>
        </w:rPr>
        <w:t>Detecting an increase from 2% to 3% conversion requires roughly 3,800 visitors per variant in a conventional two-sided test at 5% significance and 80% power, before corrections for repeated testing. This approximation assumes independent visitors and equal allocation. A 1,000-visit campaign cannot reliably settle small CRO differences.</w:t>
      </w:r>
    </w:p>
    <w:p>
      <w:r>
        <w:rPr>
          <w:b w:val="0"/>
        </w:rPr>
        <w:t>Fix demonstrated defects and established usability problems first. Use a few observed mobile shopping sessions to locate confusion. Use this paid run to assess commercial viability and obvious funnel failures, while treating creative and audience comparisons as directional.</w:t>
      </w:r>
    </w:p>
    <w:p>
      <w:r>
        <w:br w:type="page"/>
      </w:r>
    </w:p>
    <w:p>
      <w:pPr>
        <w:pStyle w:val="Heading1"/>
      </w:pPr>
      <w:r>
        <w:t>Allocate the full budget with controlled releases</w:t>
      </w:r>
    </w:p>
    <w:p>
      <w:r>
        <w:rPr>
          <w:b w:val="0"/>
        </w:rPr>
        <w:t>Recommended operating plan: one campaign and one ad set, with three cumulative lifetime-budget releases. The approximate ten-day schedule starts only after launch checks pass. Calendar dates move if delivery or repairs require more time.</w:t>
      </w:r>
    </w:p>
    <w:tbl>
      <w:tblPr>
        <w:tblW w:type="auto" w:w="0"/>
        <w:jc w:val="center"/>
        <w:tblLayout w:type="fixed"/>
        <w:tblLook w:firstColumn="1" w:firstRow="1" w:lastColumn="0" w:lastRow="0" w:noHBand="0" w:noVBand="1" w:val="04A0"/>
      </w:tblPr>
      <w:tblGrid>
        <w:gridCol w:w="2088"/>
        <w:gridCol w:w="2880"/>
        <w:gridCol w:w="2376"/>
        <w:gridCol w:w="2736"/>
      </w:tblGrid>
      <w:tr>
        <w:trPr>
          <w:tblHeader/>
          <w:cantSplit/>
        </w:trPr>
        <w:tc>
          <w:tcPr>
            <w:tcW w:type="dxa" w:w="2088"/>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Stage</w:t>
            </w:r>
          </w:p>
        </w:tc>
        <w:tc>
          <w:tcPr>
            <w:tcW w:type="dxa" w:w="2880"/>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Indicative window</w:t>
            </w:r>
          </w:p>
        </w:tc>
        <w:tc>
          <w:tcPr>
            <w:tcW w:type="dxa" w:w="2376"/>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Additional amount</w:t>
            </w:r>
          </w:p>
        </w:tc>
        <w:tc>
          <w:tcPr>
            <w:tcW w:type="dxa" w:w="2736"/>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Cumulative ceiling</w:t>
            </w:r>
          </w:p>
        </w:tc>
      </w:tr>
      <w:tr>
        <w:trPr>
          <w:cantSplit/>
        </w:trPr>
        <w:tc>
          <w:tcPr>
            <w:tcW w:type="dxa" w:w="208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Validation</w:t>
            </w:r>
          </w:p>
        </w:tc>
        <w:tc>
          <w:tcPr>
            <w:tcW w:type="dxa" w:w="288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Days 1 to 3</w:t>
            </w:r>
          </w:p>
        </w:tc>
        <w:tc>
          <w:tcPr>
            <w:tcW w:type="dxa" w:w="237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1,000 SEK</w:t>
            </w:r>
          </w:p>
        </w:tc>
        <w:tc>
          <w:tcPr>
            <w:tcW w:type="dxa" w:w="273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1,000 SEK</w:t>
            </w:r>
          </w:p>
        </w:tc>
      </w:tr>
      <w:tr>
        <w:trPr>
          <w:cantSplit/>
        </w:trPr>
        <w:tc>
          <w:tcPr>
            <w:tcW w:type="dxa" w:w="208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Concentration</w:t>
            </w:r>
          </w:p>
        </w:tc>
        <w:tc>
          <w:tcPr>
            <w:tcW w:type="dxa" w:w="2880"/>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Days 4 to 8</w:t>
            </w:r>
          </w:p>
        </w:tc>
        <w:tc>
          <w:tcPr>
            <w:tcW w:type="dxa" w:w="237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2,400 SEK</w:t>
            </w:r>
          </w:p>
        </w:tc>
        <w:tc>
          <w:tcPr>
            <w:tcW w:type="dxa" w:w="273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3,400 SEK</w:t>
            </w:r>
          </w:p>
        </w:tc>
      </w:tr>
      <w:tr>
        <w:trPr>
          <w:cantSplit/>
        </w:trPr>
        <w:tc>
          <w:tcPr>
            <w:tcW w:type="dxa" w:w="208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Completion</w:t>
            </w:r>
          </w:p>
        </w:tc>
        <w:tc>
          <w:tcPr>
            <w:tcW w:type="dxa" w:w="288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Days 9 to 10</w:t>
            </w:r>
          </w:p>
        </w:tc>
        <w:tc>
          <w:tcPr>
            <w:tcW w:type="dxa" w:w="237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600 SEK</w:t>
            </w:r>
          </w:p>
        </w:tc>
        <w:tc>
          <w:tcPr>
            <w:tcW w:type="dxa" w:w="273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4,000 SEK</w:t>
            </w:r>
          </w:p>
        </w:tc>
      </w:tr>
      <w:tr>
        <w:trPr>
          <w:cantSplit/>
        </w:trPr>
        <w:tc>
          <w:tcPr>
            <w:tcW w:type="dxa" w:w="208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Total</w:t>
            </w:r>
          </w:p>
        </w:tc>
        <w:tc>
          <w:tcPr>
            <w:tcW w:type="dxa" w:w="2880"/>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About 10 trading days</w:t>
            </w:r>
          </w:p>
        </w:tc>
        <w:tc>
          <w:tcPr>
            <w:tcW w:type="dxa" w:w="237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4,000 SEK</w:t>
            </w:r>
          </w:p>
        </w:tc>
        <w:tc>
          <w:tcPr>
            <w:tcW w:type="dxa" w:w="273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4,000 SEK</w:t>
            </w:r>
          </w:p>
        </w:tc>
      </w:tr>
    </w:tbl>
    <w:p>
      <w:pPr>
        <w:spacing w:after="0"/>
      </w:pPr>
    </w:p>
    <w:p>
      <w:pPr>
        <w:keepLines/>
      </w:pPr>
      <w:r>
        <w:rPr>
          <w:b/>
        </w:rPr>
        <w:t xml:space="preserve">How to implement. </w:t>
      </w:r>
      <w:r>
        <w:t>Start the chosen campaign with a 1,000 SEK lifetime allowance and an end date. After the first review, increase its cumulative lifetime total to 3,400 SEK and extend the end date; after the next review increase the cumulative total to 4,000 SEK. Check remaining-budget readback after every change. Never enter an additional 3,400 SEK when the interface is asking for a cumulative lifetime total.</w:t>
      </w:r>
    </w:p>
    <w:p>
      <w:pPr>
        <w:keepLines/>
      </w:pPr>
      <w:r>
        <w:rPr>
          <w:b/>
        </w:rPr>
        <w:t xml:space="preserve">Account protection. </w:t>
      </w:r>
      <w:r>
        <w:t>Keep the overall campaign spending cap at 4,000 SEK and verify an account-wide remaining allowance no greater than the remaining project allocation. Existing account counters can be cumulative, so calculate from the current counter. Do not reset counters blindly. Account limits may be unavailable on prepaid setups. Prevent other campaigns or boosts from consuming this same allocation. [S2, S3]</w:t>
      </w:r>
    </w:p>
    <w:p>
      <w:pPr>
        <w:keepLines/>
      </w:pPr>
      <w:r>
        <w:rPr>
          <w:b/>
        </w:rPr>
        <w:t xml:space="preserve">Prior spend. </w:t>
      </w:r>
      <w:r>
        <w:t>First establish total spend already charged to this project across all relevant campaigns and accounts. Remaining spend is 4,000 SEK minus that verified amount. If the remainder is below 4,000, allocate 25% and 60% of the remainder to the first two stages, rounded to öre, and assign the exact residual to the final stage.</w:t>
      </w:r>
    </w:p>
    <w:p>
      <w:pPr>
        <w:keepLines/>
      </w:pPr>
      <w:r>
        <w:rPr>
          <w:b/>
        </w:rPr>
        <w:t xml:space="preserve">Budget interpretation. </w:t>
      </w:r>
      <w:r>
        <w:t>This plan treats 4,000 SEK as media spend. Check the actual billing treatment before launch. If 4,000 SEK instead includes nonrecoverable ad tax or fees, media must be reduced. For example, a hypothetical 25% extra cash charge would mean 3,200 SEK media plus 800 SEK charges; that rate is not asserted for this account.</w:t>
      </w:r>
    </w:p>
    <w:p>
      <w:pPr>
        <w:keepLines/>
      </w:pPr>
      <w:r>
        <w:rPr>
          <w:b/>
        </w:rPr>
        <w:t xml:space="preserve">Learning tradeoff. </w:t>
      </w:r>
      <w:r>
        <w:t>Staged increases can cause further learning. They buy bounded financial exposure while readiness and economics are uncertain. Make these planned changes deliberately; avoid daily audience or creative restructuring. If verified profitable historical data becomes available, a single 4,000 SEK lifetime budget is simpler. [S4]</w:t>
      </w:r>
    </w:p>
    <w:p>
      <w:r>
        <w:rPr>
          <w:b w:val="0"/>
        </w:rPr>
        <w:t>Meta treats daily budgets as averages and lifetime budgets as caps. The present 50 SEK daily setting implies about 80 days to deploy 4,000 SEK at that average, which does not fit the requested speed. Delivery can still underspend a lifetime allowance. Reconcile settled spend, extend successful delivery within the remaining ceiling, and never exceed 4,000 SEK to chase an exact final balance. [S2]</w:t>
      </w:r>
    </w:p>
    <w:p>
      <w:r>
        <w:br w:type="page"/>
      </w:r>
    </w:p>
    <w:p>
      <w:pPr>
        <w:pStyle w:val="Heading1"/>
      </w:pPr>
      <w:r>
        <w:t>Use one sales campaign with a clear objective</w:t>
      </w:r>
    </w:p>
    <w:p>
      <w:r>
        <w:rPr>
          <w:b w:val="0"/>
        </w:rPr>
        <w:t>The following is a recommendation for Noorly’s small allocation, informed by Meta’s account-simplification framework and the observed account structure. It is not a claim that one configuration always wins. [S1]</w:t>
      </w:r>
    </w:p>
    <w:tbl>
      <w:tblPr>
        <w:tblW w:type="auto" w:w="0"/>
        <w:jc w:val="center"/>
        <w:tblLayout w:type="fixed"/>
        <w:tblLook w:firstColumn="1" w:firstRow="1" w:lastColumn="0" w:lastRow="0" w:noHBand="0" w:noVBand="1" w:val="04A0"/>
      </w:tblPr>
      <w:tblGrid>
        <w:gridCol w:w="2304"/>
        <w:gridCol w:w="7776"/>
      </w:tblGrid>
      <w:tr>
        <w:trPr>
          <w:tblHeader/>
          <w:cantSplit/>
        </w:trPr>
        <w:tc>
          <w:tcPr>
            <w:tcW w:type="dxa" w:w="2304"/>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Setting</w:t>
            </w:r>
          </w:p>
        </w:tc>
        <w:tc>
          <w:tcPr>
            <w:tcW w:type="dxa" w:w="7776"/>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Recommended starting choice</w:t>
            </w:r>
          </w:p>
        </w:tc>
      </w:tr>
      <w:tr>
        <w:trPr>
          <w:cantSplit/>
        </w:trPr>
        <w:tc>
          <w:tcPr>
            <w:tcW w:type="dxa" w:w="230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Objective and destination</w:t>
            </w:r>
          </w:p>
        </w:tc>
        <w:tc>
          <w:tcPr>
            <w:tcW w:type="dxa" w:w="777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Sales → Website → maximize purchase conversions → Purchase event. Confirm the correct dataset.</w:t>
            </w:r>
          </w:p>
        </w:tc>
      </w:tr>
      <w:tr>
        <w:trPr>
          <w:cantSplit/>
        </w:trPr>
        <w:tc>
          <w:tcPr>
            <w:tcW w:type="dxa" w:w="230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Structure</w:t>
            </w:r>
          </w:p>
        </w:tc>
        <w:tc>
          <w:tcPr>
            <w:tcW w:type="dxa" w:w="777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One campaign, one broad ad set, three genuinely different ads for one hero offer.</w:t>
            </w:r>
          </w:p>
        </w:tc>
      </w:tr>
      <w:tr>
        <w:trPr>
          <w:cantSplit/>
        </w:trPr>
        <w:tc>
          <w:tcPr>
            <w:tcW w:type="dxa" w:w="230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Geography</w:t>
            </w:r>
          </w:p>
        </w:tc>
        <w:tc>
          <w:tcPr>
            <w:tcW w:type="dxa" w:w="777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Sweden, limited to locations the store can actually fulfil. Review the location semantics in the account.</w:t>
            </w:r>
          </w:p>
        </w:tc>
      </w:tr>
      <w:tr>
        <w:trPr>
          <w:cantSplit/>
        </w:trPr>
        <w:tc>
          <w:tcPr>
            <w:tcW w:type="dxa" w:w="230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Age and gender</w:t>
            </w:r>
          </w:p>
        </w:tc>
        <w:tc>
          <w:tcPr>
            <w:tcW w:type="dxa" w:w="777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Adults, all genders. Retain broad eligibility unless actual buyer or product evidence supports a restriction.</w:t>
            </w:r>
          </w:p>
        </w:tc>
      </w:tr>
      <w:tr>
        <w:trPr>
          <w:cantSplit/>
        </w:trPr>
        <w:tc>
          <w:tcPr>
            <w:tcW w:type="dxa" w:w="230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Audience</w:t>
            </w:r>
          </w:p>
        </w:tc>
        <w:tc>
          <w:tcPr>
            <w:tcW w:type="dxa" w:w="777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Broad or Advantage+ audience, without stacking interests or splitting several lookalikes.</w:t>
            </w:r>
          </w:p>
        </w:tc>
      </w:tr>
      <w:tr>
        <w:trPr>
          <w:cantSplit/>
        </w:trPr>
        <w:tc>
          <w:tcPr>
            <w:tcW w:type="dxa" w:w="230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Language</w:t>
            </w:r>
          </w:p>
        </w:tc>
        <w:tc>
          <w:tcPr>
            <w:tcW w:type="dxa" w:w="777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Swedish creative and Swedish landing page. Avoid a language filter unless it solves a verified delivery need.</w:t>
            </w:r>
          </w:p>
        </w:tc>
      </w:tr>
      <w:tr>
        <w:trPr>
          <w:cantSplit/>
        </w:trPr>
        <w:tc>
          <w:tcPr>
            <w:tcW w:type="dxa" w:w="230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Placements</w:t>
            </w:r>
          </w:p>
        </w:tc>
        <w:tc>
          <w:tcPr>
            <w:tcW w:type="dxa" w:w="777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Begin with Advantage+ placements supported by suitable assets; inspect crops and readability.</w:t>
            </w:r>
          </w:p>
        </w:tc>
      </w:tr>
      <w:tr>
        <w:trPr>
          <w:cantSplit/>
        </w:trPr>
        <w:tc>
          <w:tcPr>
            <w:tcW w:type="dxa" w:w="230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Bidding</w:t>
            </w:r>
          </w:p>
        </w:tc>
        <w:tc>
          <w:tcPr>
            <w:tcW w:type="dxa" w:w="777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Highest volume as the initial recommendation. An uncalibrated cost cap can suppress delivery; value optimization needs suitable data.</w:t>
            </w:r>
          </w:p>
        </w:tc>
      </w:tr>
      <w:tr>
        <w:trPr>
          <w:cantSplit/>
        </w:trPr>
        <w:tc>
          <w:tcPr>
            <w:tcW w:type="dxa" w:w="2304"/>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Exclusions</w:t>
            </w:r>
          </w:p>
        </w:tc>
        <w:tc>
          <w:tcPr>
            <w:tcW w:type="dxa" w:w="7776"/>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If reliable and available, exclude existing purchasers when evaluating new-customer acquisition. Verify actual exclusion controls.</w:t>
            </w:r>
          </w:p>
        </w:tc>
      </w:tr>
      <w:tr>
        <w:trPr>
          <w:cantSplit/>
        </w:trPr>
        <w:tc>
          <w:tcPr>
            <w:tcW w:type="dxa" w:w="2304"/>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Attribution</w:t>
            </w:r>
          </w:p>
        </w:tc>
        <w:tc>
          <w:tcPr>
            <w:tcW w:type="dxa" w:w="7776"/>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Record the account setting before launch. Review 1-day and 7-day click outcomes separately from view-through where available.</w:t>
            </w:r>
          </w:p>
        </w:tc>
      </w:tr>
    </w:tbl>
    <w:p>
      <w:pPr>
        <w:spacing w:after="0"/>
      </w:pPr>
    </w:p>
    <w:p>
      <w:r>
        <w:rPr>
          <w:b w:val="0"/>
        </w:rPr>
        <w:t>Sales with Purchase expresses the business outcome. Traffic and engagement optimize different actions. Do not switch to click or cart optimization solely to make the dashboard show more results. A cart event can help diagnose friction without being the success criterion. [S5]</w:t>
      </w:r>
    </w:p>
    <w:p>
      <w:r>
        <w:rPr>
          <w:b w:val="0"/>
        </w:rPr>
        <w:t>Meta describes learning-limited delivery around insufficient optimization events, commonly about 50 in a week after a significant edit. At an illustrative CPA of 150 SEK, the entire 4,000 SEK buys about 27 orders, so a learning-limited label would be unsurprising. It is not proof that purchases are impossible, and the fixed budget must not rise to remove that label. [S6]</w:t>
      </w:r>
    </w:p>
    <w:p>
      <w:r>
        <w:rPr>
          <w:b w:val="0"/>
        </w:rPr>
        <w:t>Do not reserve a separate retargeting budget by default. Its eligible pool and incremental return are unknown. At this scale, a second ad set can divide scarce learning and repeatedly reach a small audience. Reconsider only if a material, fresh audience and evidence of recoverable purchases exist; use part of the existing final 600 SEK, never extra spend.</w:t>
      </w:r>
    </w:p>
    <w:p>
      <w:r>
        <w:br w:type="page"/>
      </w:r>
    </w:p>
    <w:p>
      <w:pPr>
        <w:pStyle w:val="Heading1"/>
      </w:pPr>
      <w:r>
        <w:t>Build three ads that answer different buying questions</w:t>
      </w:r>
    </w:p>
    <w:p>
      <w:r>
        <w:rPr>
          <w:b w:val="0"/>
        </w:rPr>
        <w:t>Use existing verified product assets and simple hands-only footage. The 4,000 SEK is fully allocated to media, so this plan adds no paid creator, agency, stock-media or app purchase. Noorly’s standing rules require no faces, accurate scent and colour identities, safe vessels, and no unsupported health, safety or environmental claims.</w:t>
      </w:r>
    </w:p>
    <w:p>
      <w:pPr>
        <w:pStyle w:val="Heading2"/>
      </w:pPr>
      <w:r>
        <w:t>Ad one explains the product</w:t>
      </w:r>
    </w:p>
    <w:p>
      <w:r>
        <w:rPr>
          <w:b w:val="0"/>
        </w:rPr>
        <w:t>A short vertical demonstration answers “What is candle sand and what do I receive?” Show actual granules and packaging, preparation while unlit, correct wick placement in an appropriate vessel, then the finished scene. Show the real delivered contents distinctly from styling accessories. This is the primary recommendation for an unfamiliar product category.</w:t>
      </w:r>
    </w:p>
    <w:p>
      <w:r>
        <w:rPr>
          <w:b w:val="0"/>
        </w:rPr>
        <w:t>Swedish draft: “Vad är ljussand? Se hur du använder den och vad som ingår. Välj din favorit hos Noorly.” Headline: “Upptäck ljussand”. CTA: “Handla nu”. Confirm the instructions and actual SKU before use.</w:t>
      </w:r>
    </w:p>
    <w:p>
      <w:pPr>
        <w:pStyle w:val="Heading2"/>
      </w:pPr>
      <w:r>
        <w:t>Ad two shows an attainable room ritual</w:t>
      </w:r>
    </w:p>
    <w:p>
      <w:r>
        <w:rPr>
          <w:b w:val="0"/>
        </w:rPr>
        <w:t>Use a believable first-apartment or evening-at-home scene, framed without faces or reflections. Let the material and light remain visible. Sell the atmosphere while showing the actual product; a generic AI room is weak evidence of what the customer will receive.</w:t>
      </w:r>
    </w:p>
    <w:p>
      <w:r>
        <w:rPr>
          <w:b w:val="0"/>
        </w:rPr>
        <w:t>Swedish draft: “Låt doften sätta tonen för hemmakvällen. Upptäck Noorlys ljussand och välj din favorit.” Headline: “En liten kvällsritual”. Use this scented wording only for a verified scented variant; do not use it for the fragrance-free product.</w:t>
      </w:r>
    </w:p>
    <w:p>
      <w:pPr>
        <w:pStyle w:val="Heading2"/>
      </w:pPr>
      <w:r>
        <w:t>Ad three makes the purchase concrete</w:t>
      </w:r>
    </w:p>
    <w:p>
      <w:r>
        <w:rPr>
          <w:b w:val="0"/>
        </w:rPr>
        <w:t>Use a static 4:5 image or short product video showing the actual pack, contents and one finished example. Place the verified price and delivery terms clearly. State “Kärl och dekorationer ingår inte” when applicable. Lead with what the buyer gets, rather than an unverified discount or a fictional review.</w:t>
      </w:r>
    </w:p>
    <w:p>
      <w:r>
        <w:rPr>
          <w:b w:val="0"/>
        </w:rPr>
        <w:t>Swedish draft template: “Ljussand [verifierad mängd] i [verifierad färg och doft]. [Verifierat innehåll]. [Pris] kr. Kärl och dekorationer ingår inte.” Replace every bracket before publication.</w:t>
      </w:r>
    </w:p>
    <w:p>
      <w:pPr>
        <w:pStyle w:val="Heading2"/>
      </w:pPr>
      <w:r>
        <w:t>Make assets fit the buying path</w:t>
      </w:r>
    </w:p>
    <w:p>
      <w:r>
        <w:rPr>
          <w:b w:val="0"/>
        </w:rPr>
        <w:t>Produce 9:16 versions for vertical placements and 4:5 crops for feeds, with captions readable without sound and essential text away from interface overlays. Review each actual placement preview. The first frame should identify the product or show the result quickly; the exact duration and hook remain hypotheses to assess.</w:t>
      </w:r>
    </w:p>
    <w:p>
      <w:r>
        <w:rPr>
          <w:b w:val="0"/>
        </w:rPr>
        <w:t>Three different concepts offer meaningful diversification without creating a large test matrix. Meta’s framework supports diversification, but it does not prove that three ads is an optimal universal number. Delivery may be very uneven; an ad that receives little spend is untested rather than a loser. [S1]</w:t>
      </w:r>
    </w:p>
    <w:p>
      <w:r>
        <w:br w:type="page"/>
      </w:r>
    </w:p>
    <w:p>
      <w:pPr>
        <w:pStyle w:val="Heading1"/>
      </w:pPr>
      <w:r>
        <w:t>Build the product page around the advertising promise</w:t>
      </w:r>
    </w:p>
    <w:p>
      <w:r>
        <w:rPr>
          <w:b w:val="0"/>
        </w:rPr>
        <w:t>Send paid clicks directly to the Swedish page for the advertised item or a genuinely purchasable bundle. The seasonal cinematic home page and the six-step box builder can remain available for discovery, but they should not be mandatory steps before buying the advertised product. This is a proposed simplification for a small cold-traffic test.</w:t>
      </w:r>
    </w:p>
    <w:p>
      <w:pPr>
        <w:pStyle w:val="Heading2"/>
      </w:pPr>
      <w:r>
        <w:t>The first mobile screen</w:t>
      </w:r>
    </w:p>
    <w:p>
      <w:pPr>
        <w:keepLines/>
      </w:pPr>
      <w:r>
        <w:rPr>
          <w:b/>
        </w:rPr>
        <w:t xml:space="preserve">Identify the product. </w:t>
      </w:r>
      <w:r>
        <w:t>Use a literal heading such as “Ljussand” followed by the verified quantity. Keep the scent and colour choice explicit. A poetic brand sentence can support the offer after the buyer understands it.</w:t>
      </w:r>
    </w:p>
    <w:p>
      <w:pPr>
        <w:keepLines/>
      </w:pPr>
      <w:r>
        <w:rPr>
          <w:b/>
        </w:rPr>
        <w:t xml:space="preserve">Show the delivered item. </w:t>
      </w:r>
      <w:r>
        <w:t>Use the real pouch and a close-up of the granular material. Keep an accessible gallery with visible thumbnails, a scale reference and a truthful styled result. State prominently if the photographed bowl is excluded. [S9, S10]</w:t>
      </w:r>
    </w:p>
    <w:p>
      <w:pPr>
        <w:keepLines/>
      </w:pPr>
      <w:r>
        <w:rPr>
          <w:b/>
        </w:rPr>
        <w:t xml:space="preserve">Make cost and availability visible. </w:t>
      </w:r>
      <w:r>
        <w:t>Place the live SEK price, applicable tax wording, selected variant availability and delivery charge or a useful estimate beside the purchase control. A site-wide banner is not sufficient. [S8, S11]</w:t>
      </w:r>
    </w:p>
    <w:p>
      <w:pPr>
        <w:keepLines/>
      </w:pPr>
      <w:r>
        <w:rPr>
          <w:b/>
        </w:rPr>
        <w:t xml:space="preserve">Give one dominant buying action. </w:t>
      </w:r>
      <w:r>
        <w:t>Use “Lägg i varukorgen”, then a clear cart confirmation and checkout action. Keep “Bygg en presentbox” secondary so it does not force an additional decision before the simple purchase.</w:t>
      </w:r>
    </w:p>
    <w:p>
      <w:pPr>
        <w:pStyle w:val="Heading2"/>
      </w:pPr>
      <w:r>
        <w:t>The next sections answer hesitation</w:t>
      </w:r>
    </w:p>
    <w:p>
      <w:pPr>
        <w:keepLines/>
      </w:pPr>
      <w:r>
        <w:rPr>
          <w:b/>
        </w:rPr>
        <w:t xml:space="preserve">Show use and contents. </w:t>
      </w:r>
      <w:r>
        <w:t>A concise real demonstration, verified instructions, quantity, included wicks if verified, and vessel requirements. Do not imply that any household bowl is safe or that a product self-extinguishes without validated instructions.</w:t>
      </w:r>
    </w:p>
    <w:p>
      <w:pPr>
        <w:keepLines/>
      </w:pPr>
      <w:r>
        <w:rPr>
          <w:b/>
        </w:rPr>
        <w:t xml:space="preserve">Explain scent choice. </w:t>
      </w:r>
      <w:r>
        <w:t>Show verified variant names and colour together. Do not invent fragrance notes. Let shoppers compare the available options without hunting through separate pages. Test whether text plus swatches is clearer than the present generic select.</w:t>
      </w:r>
    </w:p>
    <w:p>
      <w:pPr>
        <w:keepLines/>
      </w:pPr>
      <w:r>
        <w:rPr>
          <w:b/>
        </w:rPr>
        <w:t xml:space="preserve">State fulfilment terms. </w:t>
      </w:r>
      <w:r>
        <w:t>Show a credible arrival estimate, shipping terms, returns summary and seller contact. Gift shoppers need to know whether an order can arrive for the occasion. Derive dates from real fulfilment capability. [S12, S19]</w:t>
      </w:r>
    </w:p>
    <w:p>
      <w:pPr>
        <w:keepLines/>
      </w:pPr>
      <w:r>
        <w:rPr>
          <w:b/>
        </w:rPr>
        <w:t xml:space="preserve">Add authentic reassurance. </w:t>
      </w:r>
      <w:r>
        <w:t>Use actual product questions, real service details and genuine reviews when available. At launch, clear product information can do more useful work than an empty review widget. Baymard’s DTC research cautions that onsite reviews are not equally decisive in every category. [S16]</w:t>
      </w:r>
    </w:p>
    <w:p>
      <w:r>
        <w:rPr>
          <w:b w:val="0"/>
        </w:rPr>
        <w:t>Draft purchase-area template: “[Pris] kr • [mängd] • [verifierat innehåll]. Frakt [verifierad kostnad]. Beräknad leverans [verifierat intervall]. Kärl och dekorationer ingår inte.” Keep all unknowns out of a published page until they are confirmed.</w:t>
      </w:r>
    </w:p>
    <w:p>
      <w:r>
        <w:br w:type="page"/>
      </w:r>
    </w:p>
    <w:p>
      <w:pPr>
        <w:pStyle w:val="Heading1"/>
      </w:pPr>
      <w:r>
        <w:t>CRO tactics supported by product usability research</w:t>
      </w:r>
    </w:p>
    <w:p>
      <w:r>
        <w:rPr>
          <w:b w:val="0"/>
        </w:rPr>
        <w:t>These tactics address observed ecommerce usability problems. Their value depends on the current page; do not stack them and add claimed lift percentages. The implementation details below are recommendations for Noorly.</w:t>
      </w:r>
    </w:p>
    <w:p>
      <w:pPr>
        <w:keepLines/>
      </w:pPr>
      <w:r>
        <w:rPr>
          <w:b/>
        </w:rPr>
        <w:t xml:space="preserve">1  Render the complete image gallery. </w:t>
      </w:r>
      <w:r>
        <w:t>The reviewed product route displays product.images[0] only, despite having an image array. Add accessible thumbnails and zoom so shoppers can inspect the pack, texture and instructions. Confirm image changes with the selected variant. Evidence: Baymard gallery and zoom research. [S9, S10]</w:t>
      </w:r>
    </w:p>
    <w:p>
      <w:pPr>
        <w:keepLines/>
      </w:pPr>
      <w:r>
        <w:rPr>
          <w:b/>
        </w:rPr>
        <w:t xml:space="preserve">2  Provide a scale reference. </w:t>
      </w:r>
      <w:r>
        <w:t>A hands-only image or a labelled dimension view helps show what 300 g means visually. Use a real product amount and vessel; do not invent burn duration or number of refills. Evidence: repeated product-image usability testing. [S10]</w:t>
      </w:r>
    </w:p>
    <w:p>
      <w:pPr>
        <w:keepLines/>
      </w:pPr>
      <w:r>
        <w:rPr>
          <w:b/>
        </w:rPr>
        <w:t xml:space="preserve">3  Show shipping near the buying action. </w:t>
      </w:r>
      <w:r>
        <w:t>Use a confirmed fixed rate, threshold or destination estimate. For a low basket, shipping can dominate the decision. The current generic checkout-calculation text does not answer the cost upfront. [S8]</w:t>
      </w:r>
    </w:p>
    <w:p>
      <w:pPr>
        <w:keepLines/>
      </w:pPr>
      <w:r>
        <w:rPr>
          <w:b/>
        </w:rPr>
        <w:t xml:space="preserve">4  Display delivery as an understandable arrival estimate. </w:t>
      </w:r>
      <w:r>
        <w:t>Where fulfilment data supports it, show when the parcel should arrive rather than only a transport speed that requires the shopper to calculate dispatch delays and weekends. [S12]</w:t>
      </w:r>
    </w:p>
    <w:p>
      <w:pPr>
        <w:keepLines/>
      </w:pPr>
      <w:r>
        <w:rPr>
          <w:b/>
        </w:rPr>
        <w:t xml:space="preserve">5  Expose essential product information. </w:t>
      </w:r>
      <w:r>
        <w:t>Keep quantity, included items, scent, colour and vessel exclusions readable before the purchase action. Use expandable sections for secondary detail, not for facts required to decide whether the product is suitable. [S7]</w:t>
      </w:r>
    </w:p>
    <w:p>
      <w:pPr>
        <w:keepLines/>
      </w:pPr>
      <w:r>
        <w:rPr>
          <w:b/>
        </w:rPr>
        <w:t xml:space="preserve">6  Make variants unambiguous. </w:t>
      </w:r>
      <w:r>
        <w:t>Use specific labels and matching images; mark unavailable options before cart submission. The current selector already labels unavailable variants, which should be retained. Preselect an available variant only when it does not misrepresent the advertised choice. [S7]</w:t>
      </w:r>
    </w:p>
    <w:p>
      <w:pPr>
        <w:keepLines/>
      </w:pPr>
      <w:r>
        <w:rPr>
          <w:b/>
        </w:rPr>
        <w:t xml:space="preserve">7  Use clear stock feedback. </w:t>
      </w:r>
      <w:r>
        <w:t>Keep the existing selected-variant availability and server stock validation. If a product becomes unavailable, explain it and offer a relevant available alternative. Avoid invented stock counts or false scarcity. [S7]</w:t>
      </w:r>
    </w:p>
    <w:p>
      <w:pPr>
        <w:keepLines/>
      </w:pPr>
      <w:r>
        <w:rPr>
          <w:b/>
        </w:rPr>
        <w:t xml:space="preserve">8  Make help easy to find. </w:t>
      </w:r>
      <w:r>
        <w:t>Link directly to shipping, returns and real support. The present brand configuration contains hello@example.com and placeholder legal/address fields; replace these before purchase traffic is sent. [S11, R2]</w:t>
      </w:r>
    </w:p>
    <w:p>
      <w:pPr>
        <w:keepLines/>
      </w:pPr>
      <w:r>
        <w:rPr>
          <w:b/>
        </w:rPr>
        <w:t xml:space="preserve">9  Keep the small catalogue easy to browse. </w:t>
      </w:r>
      <w:r>
        <w:t>Offer simple product and occasion routes without forcing multiple intermediary category pages. A complex navigation system has little value for a tiny assortment. [S17]</w:t>
      </w:r>
    </w:p>
    <w:p>
      <w:r>
        <w:rPr>
          <w:b w:val="0"/>
        </w:rPr>
        <w:t>Priority for Noorly: product truth, complete gallery, shipping clarity and reachable service details come before colour tests, elaborate navigation or a new theme.</w:t>
      </w:r>
    </w:p>
    <w:p>
      <w:r>
        <w:br w:type="page"/>
      </w:r>
    </w:p>
    <w:p>
      <w:pPr>
        <w:pStyle w:val="Heading1"/>
      </w:pPr>
      <w:r>
        <w:t>CRO tactics for cart and checkout</w:t>
      </w:r>
    </w:p>
    <w:p>
      <w:r>
        <w:rPr>
          <w:b w:val="0"/>
        </w:rPr>
        <w:t>Baymard’s current abandonment survey identifies extra charges, delivery, trust, account creation and checkout complexity among preventable reasons. It is a US shopper survey, not a Sweden-specific causal experiment, and the reasons can overlap. [S13]</w:t>
      </w:r>
    </w:p>
    <w:p>
      <w:pPr>
        <w:keepLines/>
      </w:pPr>
      <w:r>
        <w:rPr>
          <w:b/>
        </w:rPr>
        <w:t xml:space="preserve">10  Allow a prominent guest checkout. </w:t>
      </w:r>
      <w:r>
        <w:t>Do not require an account to buy candle sand. If an account is offered, make it optional and consider offering it after the order. Verify the actual Shopify checkout rather than assuming the frontend determines this. [S14]</w:t>
      </w:r>
    </w:p>
    <w:p>
      <w:pPr>
        <w:keepLines/>
      </w:pPr>
      <w:r>
        <w:rPr>
          <w:b/>
        </w:rPr>
        <w:t xml:space="preserve">11  Show the full payable amount before payment. </w:t>
      </w:r>
      <w:r>
        <w:t>Keep item prices, discounts, shipping and tax internally consistent from product page through checkout. Resolve the current unknown shipping terms before launch. [S13]</w:t>
      </w:r>
    </w:p>
    <w:p>
      <w:pPr>
        <w:keepLines/>
      </w:pPr>
      <w:r>
        <w:rPr>
          <w:b/>
        </w:rPr>
        <w:t xml:space="preserve">12  Reduce unnecessary input. </w:t>
      </w:r>
      <w:r>
        <w:t>Use address autofill and suitable mobile keyboards. Make optional company, second-address and gift-message fields genuinely optional. Remove redundant fields where the provider permits. A one-page checkout alone is not proof of less effort. [S15]</w:t>
      </w:r>
    </w:p>
    <w:p>
      <w:pPr>
        <w:keepLines/>
      </w:pPr>
      <w:r>
        <w:rPr>
          <w:b/>
        </w:rPr>
        <w:t xml:space="preserve">13  Preserve entered information after errors. </w:t>
      </w:r>
      <w:r>
        <w:t>Show specific validation beside the affected field and give a clear correction path. A generic “something went wrong” after checkout initiation should be improved with safe, understandable reasons while keeping private technical details out of the UI. [S18]</w:t>
      </w:r>
    </w:p>
    <w:p>
      <w:pPr>
        <w:keepLines/>
      </w:pPr>
      <w:r>
        <w:rPr>
          <w:b/>
        </w:rPr>
        <w:t xml:space="preserve">14  Offer eligible familiar payment methods. </w:t>
      </w:r>
      <w:r>
        <w:t>Verify cards and available accelerated wallets. BCG and Shopify reported about 5% higher lower-funnel conversion associated with Shop Pay availability, using regression analysis; this is not a Noorly causal forecast. Check Swedish eligibility and fees before promising Klarna or Swish. Native Shopify Payments Swish currently requires Plus; upgrading for this experiment is not justified. [S20, S30]</w:t>
      </w:r>
    </w:p>
    <w:p>
      <w:pPr>
        <w:keepLines/>
      </w:pPr>
      <w:r>
        <w:rPr>
          <w:b/>
        </w:rPr>
        <w:t xml:space="preserve">15  Keep cart edits predictable. </w:t>
      </w:r>
      <w:r>
        <w:t>Retain quantity controls, totals, persistence and availability checks. After each edit, show the updated amount without forcing the shopper to restart. The repository already implements much of this; validate the live integration before adding replacements. [R3]</w:t>
      </w:r>
    </w:p>
    <w:p>
      <w:pPr>
        <w:keepLines/>
      </w:pPr>
      <w:r>
        <w:rPr>
          <w:b/>
        </w:rPr>
        <w:t xml:space="preserve">16  Keep discount entry unobtrusive. </w:t>
      </w:r>
      <w:r>
        <w:t>If the hosted checkout allows it, collapse the promotional-code field so visitors are not unnecessarily prompted to leave and search for a code. Ensure any advertised valid offer applies correctly. [S21]</w:t>
      </w:r>
    </w:p>
    <w:p>
      <w:pPr>
        <w:keepLines/>
      </w:pPr>
      <w:r>
        <w:rPr>
          <w:b/>
        </w:rPr>
        <w:t xml:space="preserve">17  Avoid interrupting checkout with irrelevant offers. </w:t>
      </w:r>
      <w:r>
        <w:t>If testing an add-on, make it optional, relevant and easy to dismiss. Never preselect paid extras. Assess contribution per visit and completed orders, because a higher basket can coexist with fewer purchases. [S22]</w:t>
      </w:r>
    </w:p>
    <w:p>
      <w:pPr>
        <w:keepLines/>
      </w:pPr>
      <w:r>
        <w:rPr>
          <w:b/>
        </w:rPr>
        <w:t xml:space="preserve">18  Confirm a real order clearly. </w:t>
      </w:r>
      <w:r>
        <w:t>Display order confirmation and send the configured receipt. Count purchase from the defined completed-payment source, not from an add-to-cart action or a mock confirmation. Verify gifts, delivery details and actual fulfilment handoff. [R3, R4]</w:t>
      </w:r>
    </w:p>
    <w:p>
      <w:r>
        <w:rPr>
          <w:b w:val="0"/>
        </w:rPr>
        <w:t>Baymard’s estimated aggregate checkout improvement opportunity is not a promised Noorly uplift. The fastest gain here may simply be making a real checkout work; cosmetic checkout changes cannot compensate for missing commerce configuration.</w:t>
      </w:r>
    </w:p>
    <w:p>
      <w:r>
        <w:br w:type="page"/>
      </w:r>
    </w:p>
    <w:p>
      <w:pPr>
        <w:pStyle w:val="Heading1"/>
      </w:pPr>
      <w:r>
        <w:t>CRO tactics for performance trust and offer design</w:t>
      </w:r>
    </w:p>
    <w:p>
      <w:pPr>
        <w:keepLines/>
      </w:pPr>
      <w:r>
        <w:rPr>
          <w:b/>
        </w:rPr>
        <w:t xml:space="preserve">19  Optimize the paid landing page first. </w:t>
      </w:r>
      <w:r>
        <w:t>Measure the exact mobile product URL under realistic conditions. Use real-user Core Web Vitals when volume allows: LCP at or below 2.5 seconds, INP at or below 200 ms, and CLS at or below 0.1 at the 75th percentile. Lab results diagnose problems; they do not establish real-user conversion impact. [S23]</w:t>
      </w:r>
    </w:p>
    <w:p>
      <w:pPr>
        <w:keepLines/>
      </w:pPr>
      <w:r>
        <w:rPr>
          <w:b/>
        </w:rPr>
        <w:t xml:space="preserve">20  Reduce load before buying. </w:t>
      </w:r>
      <w:r>
        <w:t>Prioritize the real product image, resize responsive assets, reserve dimensions and defer secondary media. Avoid making the cinematic entry or heavy video a prerequisite for the advertised purchase. Do not remove accessibility or consent controls to improve a speed score. [S23, S24]</w:t>
      </w:r>
    </w:p>
    <w:p>
      <w:pPr>
        <w:keepLines/>
      </w:pPr>
      <w:r>
        <w:rPr>
          <w:b/>
        </w:rPr>
        <w:t xml:space="preserve">21  Test in Meta in-app browsers. </w:t>
      </w:r>
      <w:r>
        <w:t>Verify variant selection, cart persistence, checkout redirect, wallets and back navigation on iPhone and Android. A desktop success is insufficient evidence for the actual paid journey. This is a launch acceptance recommendation.</w:t>
      </w:r>
    </w:p>
    <w:p>
      <w:pPr>
        <w:keepLines/>
      </w:pPr>
      <w:r>
        <w:rPr>
          <w:b/>
        </w:rPr>
        <w:t xml:space="preserve">22  Replace placeholders with real seller information. </w:t>
      </w:r>
      <w:r>
        <w:t>Add the actual legal seller, contact mailbox and fulfilment policies. Remove fictional products, reviews and unverified claims from the sales path. This is directly supported by the repository audit and Swedish consumer information requirements. [R1, R2, S19]</w:t>
      </w:r>
    </w:p>
    <w:p>
      <w:pPr>
        <w:keepLines/>
      </w:pPr>
      <w:r>
        <w:rPr>
          <w:b/>
        </w:rPr>
        <w:t xml:space="preserve">23  Use accurate returns information. </w:t>
      </w:r>
      <w:r>
        <w:t>Explain applicable withdrawal rights, return steps and costs in plain Swedish. Do not advertise a more generous guarantee than the merchant can honour, or present a statutory right as a unique advantage. [S19]</w:t>
      </w:r>
    </w:p>
    <w:p>
      <w:pPr>
        <w:keepLines/>
      </w:pPr>
      <w:r>
        <w:rPr>
          <w:b/>
        </w:rPr>
        <w:t xml:space="preserve">24  Respect consent throughout the funnel. </w:t>
      </w:r>
      <w:r>
        <w:t>Keep clear accept/reject controls, allow withdrawal and distinguish marketing permission from analytics permission. Server tracking must not be used to bypass those choices. The existing code stores marketing separately but does not implement a marketing provider. [S25, R4]</w:t>
      </w:r>
    </w:p>
    <w:p>
      <w:pPr>
        <w:keepLines/>
      </w:pPr>
      <w:r>
        <w:rPr>
          <w:b/>
        </w:rPr>
        <w:t xml:space="preserve">25  Start with one understandable offer. </w:t>
      </w:r>
      <w:r>
        <w:t>Choose the real SKU or simple bundle with positive contribution, stock and a demonstrable use. Avoid splitting 4,000 SEK across every scent, notebooks and unrelated gifts. This is an economic recommendation, not a universal CRO experiment result.</w:t>
      </w:r>
    </w:p>
    <w:p>
      <w:pPr>
        <w:keepLines/>
      </w:pPr>
      <w:r>
        <w:rPr>
          <w:b/>
        </w:rPr>
        <w:t xml:space="preserve">26  Model bundles and shipping incentives. </w:t>
      </w:r>
      <w:r>
        <w:t>Calculate incremental contribution before offering free shipping or a discount. A 10% price discount on a 499 SEK VAT-inclusive receipt removes 39.92 SEK of net revenue under the illustrative 25% VAT assumption, before any fee adjustment. It needs a measurable increase in orders to pay for itself.</w:t>
      </w:r>
    </w:p>
    <w:p>
      <w:pPr>
        <w:keepLines/>
      </w:pPr>
      <w:r>
        <w:rPr>
          <w:b/>
        </w:rPr>
        <w:t xml:space="preserve">27  Use urgency only when it is real. </w:t>
      </w:r>
      <w:r>
        <w:t>A genuine delivery cutoff or limited inventory can inform a decision. Resetting countdowns and unsupported stock warnings mislead buyers. Any claimed price reduction must use the applicable prior-price rules. [S26]</w:t>
      </w:r>
    </w:p>
    <w:p>
      <w:pPr>
        <w:keepLines/>
      </w:pPr>
      <w:r>
        <w:rPr>
          <w:b/>
        </w:rPr>
        <w:t xml:space="preserve">28  Make post-visit recovery useful. </w:t>
      </w:r>
      <w:r>
        <w:t>Where consent and the existing system permit, use a simple abandoned-checkout reminder that restores the basket. Confirm a working delivery provider; the repository currently describes a mock form receiver. Do not fund a new recovery stack from the media allocation or auto-apply a discount. [R1]</w:t>
      </w:r>
    </w:p>
    <w:p>
      <w:r>
        <w:rPr>
          <w:b w:val="0"/>
        </w:rPr>
        <w:t>Optional hypotheses for later: a mobile sticky purchase bar, visible scent swatches, a simpler ready-made bundle and an optional relevant add-on. Test them after blockers are fixed; none is universally proven to increase profit.</w:t>
      </w:r>
    </w:p>
    <w:p>
      <w:r>
        <w:br w:type="page"/>
      </w:r>
    </w:p>
    <w:p>
      <w:pPr>
        <w:pStyle w:val="Heading1"/>
      </w:pPr>
      <w:r>
        <w:t>Close the measurement gap before buying traffic</w:t>
      </w:r>
    </w:p>
    <w:p>
      <w:r>
        <w:rPr>
          <w:b w:val="0"/>
        </w:rPr>
        <w:t>The site is a custom Next.js storefront with a Shopify adapter. Native Shopify channel configuration may help the hosted checkout, but it must not be assumed to instrument the custom frontend. Verify the actual domains, consent flow and browser/server events end to end.</w:t>
      </w:r>
    </w:p>
    <w:p>
      <w:pPr>
        <w:pStyle w:val="Heading2"/>
      </w:pPr>
      <w:r>
        <w:t>What the reviewed code currently implements</w:t>
      </w:r>
    </w:p>
    <w:p>
      <w:r>
        <w:rPr>
          <w:b w:val="0"/>
        </w:rPr>
        <w:t>src/lib/analytics/client.ts dispatches an internal event taxonomy to optional GA4 and PostHog adapters after analytics consent. It does not load Meta Pixel. src/lib/analytics/outbox.ts delivers verified paid events to GA4, PostHog or a generic relay; it has no native Meta CAPI adapter. The paid-order webhook gates on analytics consent and an anonymous session, rather than carrying a separate marketing-consent contract. [R4]</w:t>
      </w:r>
    </w:p>
    <w:p>
      <w:r>
        <w:rPr>
          <w:b w:val="0"/>
        </w:rPr>
        <w:t>The GA4 adapter forwards names such as product_viewed without mapping them to standard ecommerce event names or an items array. Custom events can still appear, but standard item and ecommerce reports need their documented schema. The paid GA4 payload also does not carry a complete product array. This is a code finding, not evidence that a deployed analytics property is configured a particular way. [S27, R4]</w:t>
      </w:r>
    </w:p>
    <w:p>
      <w:pPr>
        <w:pStyle w:val="Heading2"/>
      </w:pPr>
      <w:r>
        <w:t>Implementation specification</w:t>
      </w:r>
    </w:p>
    <w:p>
      <w:pPr>
        <w:keepLines/>
      </w:pPr>
      <w:r>
        <w:rPr>
          <w:b/>
        </w:rPr>
        <w:t xml:space="preserve">Event mapping. </w:t>
      </w:r>
      <w:r>
        <w:t>Map a product visit to Meta ViewContent; confirmed cart mutations to AddToCart; validated checkout handoff to InitiateCheckout; and an actual completed purchase to Purchase. Record currency SEK, consistent value and product identifiers. If a catalogue is used, match its item IDs exactly.</w:t>
      </w:r>
    </w:p>
    <w:p>
      <w:pPr>
        <w:keepLines/>
      </w:pPr>
      <w:r>
        <w:rPr>
          <w:b/>
        </w:rPr>
        <w:t xml:space="preserve">Purchase integrity. </w:t>
      </w:r>
      <w:r>
        <w:t>Choose one authoritative implementation for paid-order reporting. The existing verified orders/paid flow is a useful base. If both browser and server Purchase events describe the same order, give them matching event identity and verify deduplication. Do not independently generate unrelated IDs or send a second custom purchase beside an already functional native integration. [S28]</w:t>
      </w:r>
    </w:p>
    <w:p>
      <w:pPr>
        <w:keepLines/>
      </w:pPr>
      <w:r>
        <w:rPr>
          <w:b/>
        </w:rPr>
        <w:t xml:space="preserve">Consent and delivery. </w:t>
      </w:r>
      <w:r>
        <w:t>Add an explicit marketing-consent contract to any custom marketing pipeline, with revocation behaviour. Keep server tokens private. Review the current CSP allowlist for the intended Meta endpoints without broadly weakening it. Retry failures with the same event identity and actual event time. [R4, S25]</w:t>
      </w:r>
    </w:p>
    <w:p>
      <w:pPr>
        <w:keepLines/>
      </w:pPr>
      <w:r>
        <w:rPr>
          <w:b/>
        </w:rPr>
        <w:t xml:space="preserve">Attribution. </w:t>
      </w:r>
      <w:r>
        <w:t>Use stable UTM source, medium, campaign, content and ad identifiers. The current attribution helper captures only source, medium and campaign, so content and ad-level attribution need an explicit extension. Preserve consented attribution through checkout where appropriate; do not collect sensitive gift messages.</w:t>
      </w:r>
    </w:p>
    <w:p>
      <w:pPr>
        <w:keepLines/>
      </w:pPr>
      <w:r>
        <w:rPr>
          <w:b/>
        </w:rPr>
        <w:t xml:space="preserve">Reconciliation. </w:t>
      </w:r>
      <w:r>
        <w:t>Compare paid Shopify orders and net refunds with Meta attributed purchases. Keep click-attributed and view-attributed orders separate where possible. A tracking discrepancy is a diagnostic; platform attribution is not proof that every credited order was caused by advertising.</w:t>
      </w:r>
    </w:p>
    <w:p>
      <w:r>
        <w:rPr>
          <w:b w:val="0"/>
        </w:rPr>
        <w:t>For a standard Shopify theme, the official channel documents Pixel and Conversions API sharing settings. For this headless codebase, inspect what is actually emitted before choosing a native, custom or relay implementation. Buying a separate tracking subscription is not required by this research. [S29]</w:t>
      </w:r>
    </w:p>
    <w:p>
      <w:r>
        <w:br w:type="page"/>
      </w:r>
    </w:p>
    <w:p>
      <w:pPr>
        <w:pStyle w:val="Heading1"/>
      </w:pPr>
      <w:r>
        <w:t>Use spend rules that reflect uncertainty</w:t>
      </w:r>
    </w:p>
    <w:p>
      <w:r>
        <w:rPr>
          <w:b w:val="0"/>
        </w:rPr>
        <w:t>The following thresholds are proposed financial controls. They are not Meta platform requirements or statistically validated universal kill rules. Apply them to a correctly tracked cohort and account for conversion delay.</w:t>
      </w:r>
    </w:p>
    <w:tbl>
      <w:tblPr>
        <w:tblW w:type="auto" w:w="0"/>
        <w:jc w:val="center"/>
        <w:tblLayout w:type="fixed"/>
        <w:tblLook w:firstColumn="1" w:firstRow="1" w:lastColumn="0" w:lastRow="0" w:noHBand="0" w:noVBand="1" w:val="04A0"/>
      </w:tblPr>
      <w:tblGrid>
        <w:gridCol w:w="3672"/>
        <w:gridCol w:w="6408"/>
      </w:tblGrid>
      <w:tr>
        <w:trPr>
          <w:tblHeader/>
          <w:cantSplit/>
        </w:trPr>
        <w:tc>
          <w:tcPr>
            <w:tcW w:type="dxa" w:w="3672"/>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Condition</w:t>
            </w:r>
          </w:p>
        </w:tc>
        <w:tc>
          <w:tcPr>
            <w:tcW w:type="dxa" w:w="6408"/>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Action</w:t>
            </w:r>
          </w:p>
        </w:tc>
      </w:tr>
      <w:tr>
        <w:trPr>
          <w:cantSplit/>
        </w:trPr>
        <w:tc>
          <w:tcPr>
            <w:tcW w:type="dxa" w:w="367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Broken link, wrong price, failed checkout, missing purchase signal or misleading creative</w:t>
            </w:r>
          </w:p>
        </w:tc>
        <w:tc>
          <w:tcPr>
            <w:tcW w:type="dxa" w:w="640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Pause delivery immediately. Repair and verify before resuming.</w:t>
            </w:r>
          </w:p>
        </w:tc>
      </w:tr>
      <w:tr>
        <w:trPr>
          <w:cantSplit/>
        </w:trPr>
        <w:tc>
          <w:tcPr>
            <w:tcW w:type="dxa" w:w="367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Spend reaches 1 × target CPA with no purchase</w:t>
            </w:r>
          </w:p>
        </w:tc>
        <w:tc>
          <w:tcPr>
            <w:tcW w:type="dxa" w:w="640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Inspect delivery and funnel. This alone is too little evidence to reject an ad.</w:t>
            </w:r>
          </w:p>
        </w:tc>
      </w:tr>
      <w:tr>
        <w:trPr>
          <w:cantSplit/>
        </w:trPr>
        <w:tc>
          <w:tcPr>
            <w:tcW w:type="dxa" w:w="367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Spend reaches 2 × target CPA with no purchase</w:t>
            </w:r>
          </w:p>
        </w:tc>
        <w:tc>
          <w:tcPr>
            <w:tcW w:type="dxa" w:w="640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Review backend orders, pending payments, consent and lag. Pause new spend while diagnosing if the funnel provides no credible explanation.</w:t>
            </w:r>
          </w:p>
        </w:tc>
      </w:tr>
      <w:tr>
        <w:trPr>
          <w:cantSplit/>
        </w:trPr>
        <w:tc>
          <w:tcPr>
            <w:tcW w:type="dxa" w:w="367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Spend reaches 3 × target CPA with no purchase</w:t>
            </w:r>
          </w:p>
        </w:tc>
        <w:tc>
          <w:tcPr>
            <w:tcW w:type="dxa" w:w="640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Pause the ad or affected funnel and reassess before releasing further budget. Wait for outstanding attribution while paused.</w:t>
            </w:r>
          </w:p>
        </w:tc>
      </w:tr>
      <w:tr>
        <w:trPr>
          <w:cantSplit/>
        </w:trPr>
        <w:tc>
          <w:tcPr>
            <w:tcW w:type="dxa" w:w="367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Purchases arrive within target CPA</w:t>
            </w:r>
          </w:p>
        </w:tc>
        <w:tc>
          <w:tcPr>
            <w:tcW w:type="dxa" w:w="640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Concentrate remaining spend on the offer and ads with the strongest order evidence; retain the same ceiling.</w:t>
            </w:r>
          </w:p>
        </w:tc>
      </w:tr>
      <w:tr>
        <w:trPr>
          <w:cantSplit/>
        </w:trPr>
        <w:tc>
          <w:tcPr>
            <w:tcW w:type="dxa" w:w="367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Some orders, CPA above target but below contribution</w:t>
            </w:r>
          </w:p>
        </w:tc>
        <w:tc>
          <w:tcPr>
            <w:tcW w:type="dxa" w:w="640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Review matured outcomes and economics. Continue only with a reasoned improvement plan within the next release.</w:t>
            </w:r>
          </w:p>
        </w:tc>
      </w:tr>
      <w:tr>
        <w:trPr>
          <w:cantSplit/>
        </w:trPr>
        <w:tc>
          <w:tcPr>
            <w:tcW w:type="dxa" w:w="367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First 1,000 SEK spent without a viable paid-order path</w:t>
            </w:r>
          </w:p>
        </w:tc>
        <w:tc>
          <w:tcPr>
            <w:tcW w:type="dxa" w:w="640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Hold the next 2,400 SEK. Repair the page, tracking or offer, then redeploy the still-earmarked allocation.</w:t>
            </w:r>
          </w:p>
        </w:tc>
      </w:tr>
      <w:tr>
        <w:trPr>
          <w:cantSplit/>
        </w:trPr>
        <w:tc>
          <w:tcPr>
            <w:tcW w:type="dxa" w:w="367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Final allocation approaches its ceiling</w:t>
            </w:r>
          </w:p>
        </w:tc>
        <w:tc>
          <w:tcPr>
            <w:tcW w:type="dxa" w:w="640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Reconcile all project spend and settled delivery before any extension. Remaining allowance is 4,000 SEK less cumulative project spend.</w:t>
            </w:r>
          </w:p>
        </w:tc>
      </w:tr>
    </w:tbl>
    <w:p>
      <w:pPr>
        <w:spacing w:after="0"/>
      </w:pPr>
    </w:p>
    <w:p>
      <w:r>
        <w:rPr>
          <w:b w:val="0"/>
        </w:rPr>
        <w:t>Why not stop after one target CPA? Under a simplified Poisson model, the probability of zero orders is about 37% after spending one true CPA, 14% after two and 5% after three. Real campaigns have delayed purchases, changing auctions and nonindependent visitors, so this model provides perspective rather than certainty.</w:t>
      </w:r>
    </w:p>
    <w:p>
      <w:r>
        <w:rPr>
          <w:b w:val="0"/>
        </w:rPr>
        <w:t>Use a 24–48 hour diagnostic lag where order timing warrants it, and review again after 48–72 hours at the end. Those are operating windows, not an instruction to keep spending through a threshold. Final settlement or refunds can take longer. If reliable history shows a different buying delay, use that evidence.</w:t>
      </w:r>
    </w:p>
    <w:p>
      <w:r>
        <w:rPr>
          <w:b w:val="0"/>
        </w:rPr>
        <w:t>Do not declare a creative winner from CTR alone. Track cost per outbound click, landing visits, carts, checkout starts, paid orders and contribution. An attractive ad that generates curiosity without orders is not a sales winner. Low-spend ads remain inconclusive. Automated reporting or stop rules have not been installed by this research.</w:t>
      </w:r>
    </w:p>
    <w:p>
      <w:r>
        <w:br w:type="page"/>
      </w:r>
    </w:p>
    <w:p>
      <w:pPr>
        <w:pStyle w:val="Heading1"/>
      </w:pPr>
      <w:r>
        <w:t>Implement the highest priority fixes in the existing code</w:t>
      </w:r>
    </w:p>
    <w:p>
      <w:r>
        <w:rPr>
          <w:b w:val="0"/>
        </w:rPr>
        <w:t>These are concrete work specifications, not completed changes. Production environment values and merchant-admin settings were not read. The path references point to the reviewed GitHub commit.</w:t>
      </w:r>
    </w:p>
    <w:tbl>
      <w:tblPr>
        <w:tblW w:type="auto" w:w="0"/>
        <w:jc w:val="center"/>
        <w:tblLayout w:type="fixed"/>
        <w:tblLook w:firstColumn="1" w:firstRow="1" w:lastColumn="0" w:lastRow="0" w:noHBand="0" w:noVBand="1" w:val="04A0"/>
      </w:tblPr>
      <w:tblGrid>
        <w:gridCol w:w="792"/>
        <w:gridCol w:w="4320"/>
        <w:gridCol w:w="4968"/>
      </w:tblGrid>
      <w:tr>
        <w:trPr>
          <w:tblHeader/>
          <w:cantSplit/>
        </w:trPr>
        <w:tc>
          <w:tcPr>
            <w:tcW w:type="dxa" w:w="792"/>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Priority</w:t>
            </w:r>
          </w:p>
        </w:tc>
        <w:tc>
          <w:tcPr>
            <w:tcW w:type="dxa" w:w="4320"/>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Implementation location</w:t>
            </w:r>
          </w:p>
        </w:tc>
        <w:tc>
          <w:tcPr>
            <w:tcW w:type="dxa" w:w="4968"/>
            <w:vAlign w:val="center"/>
            <w:shd w:fill="344B3E"/>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Required result</w:t>
            </w:r>
          </w:p>
        </w:tc>
      </w:tr>
      <w:tr>
        <w:trPr>
          <w:cantSplit/>
        </w:trPr>
        <w:tc>
          <w:tcPr>
            <w:tcW w:type="dxa" w:w="79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P0</w:t>
            </w:r>
          </w:p>
        </w:tc>
        <w:tc>
          <w:tcPr>
            <w:tcW w:type="dxa" w:w="432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docs/noorly-setup.md; src/lib/env/schema.ts; commerce provider</w:t>
            </w:r>
          </w:p>
        </w:tc>
        <w:tc>
          <w:tcPr>
            <w:tcW w:type="dxa" w:w="496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Confirm real Shopify mode, approved products and functioning hosted payment. No mock checkout on the advertised path.</w:t>
            </w:r>
          </w:p>
        </w:tc>
      </w:tr>
      <w:tr>
        <w:trPr>
          <w:cantSplit/>
        </w:trPr>
        <w:tc>
          <w:tcPr>
            <w:tcW w:type="dxa" w:w="79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P0</w:t>
            </w:r>
          </w:p>
        </w:tc>
        <w:tc>
          <w:tcPr>
            <w:tcW w:type="dxa" w:w="4320"/>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Meta dataset and headless tracking adapter</w:t>
            </w:r>
          </w:p>
        </w:tc>
        <w:tc>
          <w:tcPr>
            <w:tcW w:type="dxa" w:w="496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Fresh product, cart, checkout and valid paid-purchase signals on the dataset selected by the ad set.</w:t>
            </w:r>
          </w:p>
        </w:tc>
      </w:tr>
      <w:tr>
        <w:trPr>
          <w:cantSplit/>
        </w:trPr>
        <w:tc>
          <w:tcPr>
            <w:tcW w:type="dxa" w:w="79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P0</w:t>
            </w:r>
          </w:p>
        </w:tc>
        <w:tc>
          <w:tcPr>
            <w:tcW w:type="dxa" w:w="432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src/config/brand.ts; src/content/translations/index.ts</w:t>
            </w:r>
          </w:p>
        </w:tc>
        <w:tc>
          <w:tcPr>
            <w:tcW w:type="dxa" w:w="496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Replace seller, address, support, policy and fulfilment placeholders with verified facts.</w:t>
            </w:r>
          </w:p>
        </w:tc>
      </w:tr>
      <w:tr>
        <w:trPr>
          <w:cantSplit/>
        </w:trPr>
        <w:tc>
          <w:tcPr>
            <w:tcW w:type="dxa" w:w="79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P0</w:t>
            </w:r>
          </w:p>
        </w:tc>
        <w:tc>
          <w:tcPr>
            <w:tcW w:type="dxa" w:w="4320"/>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Merchant price, inventory, fulfilment and payment settings</w:t>
            </w:r>
          </w:p>
        </w:tc>
        <w:tc>
          <w:tcPr>
            <w:tcW w:type="dxa" w:w="496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Approve final SEK price, stock, shipping cost, arrival expectations and first-order contribution.</w:t>
            </w:r>
          </w:p>
        </w:tc>
      </w:tr>
      <w:tr>
        <w:trPr>
          <w:cantSplit/>
        </w:trPr>
        <w:tc>
          <w:tcPr>
            <w:tcW w:type="dxa" w:w="79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P1</w:t>
            </w:r>
          </w:p>
        </w:tc>
        <w:tc>
          <w:tcPr>
            <w:tcW w:type="dxa" w:w="432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src/app/[locale]/products/[handle]/page.tsx</w:t>
            </w:r>
          </w:p>
        </w:tc>
        <w:tc>
          <w:tcPr>
            <w:tcW w:type="dxa" w:w="496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Render more than images[0]; provide real contents, scale, instructions and exclusions.</w:t>
            </w:r>
          </w:p>
        </w:tc>
      </w:tr>
      <w:tr>
        <w:trPr>
          <w:cantSplit/>
        </w:trPr>
        <w:tc>
          <w:tcPr>
            <w:tcW w:type="dxa" w:w="79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P1</w:t>
            </w:r>
          </w:p>
        </w:tc>
        <w:tc>
          <w:tcPr>
            <w:tcW w:type="dxa" w:w="4320"/>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src/components/product/product-purchase.tsx</w:t>
            </w:r>
          </w:p>
        </w:tc>
        <w:tc>
          <w:tcPr>
            <w:tcW w:type="dxa" w:w="496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Show confirmed shipping summary near price and action. Make variant and scent selection clear; keep stock protection.</w:t>
            </w:r>
          </w:p>
        </w:tc>
      </w:tr>
      <w:tr>
        <w:trPr>
          <w:cantSplit/>
        </w:trPr>
        <w:tc>
          <w:tcPr>
            <w:tcW w:type="dxa" w:w="79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P1</w:t>
            </w:r>
          </w:p>
        </w:tc>
        <w:tc>
          <w:tcPr>
            <w:tcW w:type="dxa" w:w="432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src/features/cart/cart-view.tsx; translations</w:t>
            </w:r>
          </w:p>
        </w:tc>
        <w:tc>
          <w:tcPr>
            <w:tcW w:type="dxa" w:w="496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Use meaningful cost and delivery information; improve actionable checkout errors without exposing implementation details.</w:t>
            </w:r>
          </w:p>
        </w:tc>
      </w:tr>
      <w:tr>
        <w:trPr>
          <w:cantSplit/>
        </w:trPr>
        <w:tc>
          <w:tcPr>
            <w:tcW w:type="dxa" w:w="79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P1</w:t>
            </w:r>
          </w:p>
        </w:tc>
        <w:tc>
          <w:tcPr>
            <w:tcW w:type="dxa" w:w="4320"/>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src/lib/analytics/client.ts; schema.ts; outbox.ts; paid webhook</w:t>
            </w:r>
          </w:p>
        </w:tc>
        <w:tc>
          <w:tcPr>
            <w:tcW w:type="dxa" w:w="496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Map GA4 ecommerce schema; add deliberate marketing pipeline and ad attribution only with correct consent and deduplication.</w:t>
            </w:r>
          </w:p>
        </w:tc>
      </w:tr>
      <w:tr>
        <w:trPr>
          <w:cantSplit/>
        </w:trPr>
        <w:tc>
          <w:tcPr>
            <w:tcW w:type="dxa" w:w="792"/>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P1</w:t>
            </w:r>
          </w:p>
        </w:tc>
        <w:tc>
          <w:tcPr>
            <w:tcW w:type="dxa" w:w="4320"/>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src/lib/security/csp.ts</w:t>
            </w:r>
          </w:p>
        </w:tc>
        <w:tc>
          <w:tcPr>
            <w:tcW w:type="dxa" w:w="4968"/>
            <w:vAlign w:val="center"/>
            <w:shd w:fill="FFFFFF"/>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Permit only the endpoints required by the chosen tracking integration; verify actual requests.</w:t>
            </w:r>
          </w:p>
        </w:tc>
      </w:tr>
      <w:tr>
        <w:trPr>
          <w:cantSplit/>
        </w:trPr>
        <w:tc>
          <w:tcPr>
            <w:tcW w:type="dxa" w:w="792"/>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P2</w:t>
            </w:r>
          </w:p>
        </w:tc>
        <w:tc>
          <w:tcPr>
            <w:tcW w:type="dxa" w:w="4320"/>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Paid product route and media assets</w:t>
            </w:r>
          </w:p>
        </w:tc>
        <w:tc>
          <w:tcPr>
            <w:tcW w:type="dxa" w:w="4968"/>
            <w:vAlign w:val="center"/>
            <w:shd w:fill="F1F3F1"/>
            <w:tcMar>
              <w:top w:w="90" w:type="dxa"/>
              <w:bottom w:w="90" w:type="dxa"/>
              <w:left w:w="90" w:type="dxa"/>
              <w:right w:w="9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Measure and reduce mobile load time. Test a sticky action only if shoppers actually lose access to the purchase control.</w:t>
            </w:r>
          </w:p>
        </w:tc>
      </w:tr>
    </w:tbl>
    <w:p>
      <w:pPr>
        <w:spacing w:after="0"/>
      </w:pPr>
    </w:p>
    <w:p>
      <w:r>
        <w:rPr>
          <w:b w:val="0"/>
        </w:rPr>
        <w:t>Keep working features: server stock checks, validated cart mutations, accessible variant controls, clear consent choices, safe hosted-checkout redirection and verified paid-order handling. The audit does not justify a platform migration or a new theme purchase.</w:t>
      </w:r>
    </w:p>
    <w:p>
      <w:r>
        <w:rPr>
          <w:b w:val="0"/>
        </w:rPr>
        <w:t>If there is a different live Shopify theme from this repository, apply these code findings to the repository only and audit that actual sales URL separately. Repository state cannot establish what is deployed.</w:t>
      </w:r>
    </w:p>
    <w:p>
      <w:r>
        <w:br w:type="page"/>
      </w:r>
    </w:p>
    <w:p>
      <w:pPr>
        <w:pStyle w:val="Heading1"/>
      </w:pPr>
      <w:r>
        <w:t>Launch sequence and acceptance evidence</w:t>
      </w:r>
    </w:p>
    <w:p>
      <w:pPr>
        <w:pStyle w:val="Heading2"/>
      </w:pPr>
      <w:r>
        <w:t>Before the first advertising krona</w:t>
      </w:r>
    </w:p>
    <w:p>
      <w:pPr>
        <w:keepLines/>
      </w:pPr>
      <w:r>
        <w:rPr>
          <w:b/>
        </w:rPr>
        <w:t xml:space="preserve">Merchant checks. </w:t>
      </w:r>
      <w:r>
        <w:t>Approve one real offer, its cost sheet and stock. Confirm delivery destinations, charges, arrival estimates, returns and operational seller details. Select the final sales URL and verify HTTPS.</w:t>
      </w:r>
    </w:p>
    <w:p>
      <w:pPr>
        <w:keepLines/>
      </w:pPr>
      <w:r>
        <w:rPr>
          <w:b/>
        </w:rPr>
        <w:t xml:space="preserve">Shopping checks. </w:t>
      </w:r>
      <w:r>
        <w:t>Complete a provider test purchase on mobile; verify price, variant, shipping and payment. Check out-of-stock behaviour, retries, returning from checkout and cart persistence. Confirm the order reaches the real merchant system. No test transaction was placed during this research.</w:t>
      </w:r>
    </w:p>
    <w:p>
      <w:pPr>
        <w:keepLines/>
      </w:pPr>
      <w:r>
        <w:rPr>
          <w:b/>
        </w:rPr>
        <w:t xml:space="preserve">Measurement checks. </w:t>
      </w:r>
      <w:r>
        <w:t>Verify fresh events on the selected Meta dataset, with SEK values and the expected product IDs. Test consent rejection and acceptance separately. Validate paid-event deduplication without making mock or test events appear as real sales. Verify the GA4 event schema if those reports are used.</w:t>
      </w:r>
    </w:p>
    <w:p>
      <w:pPr>
        <w:keepLines/>
      </w:pPr>
      <w:r>
        <w:rPr>
          <w:b/>
        </w:rPr>
        <w:t xml:space="preserve">Budget checks. </w:t>
      </w:r>
      <w:r>
        <w:t>Reconcile prior project spend and invoice treatment. Confirm the initial lifetime allowance, cumulative campaign ceiling, account remaining allowance, end date and other campaign statuses. Record a screenshot or export of the final readback before activation.</w:t>
      </w:r>
    </w:p>
    <w:p>
      <w:pPr>
        <w:pStyle w:val="Heading2"/>
      </w:pPr>
      <w:r>
        <w:t>During the approximate ten day run</w:t>
      </w:r>
    </w:p>
    <w:p>
      <w:r>
        <w:rPr>
          <w:b w:val="0"/>
        </w:rPr>
        <w:t>Days 1–3: use the first 1,000 SEK for the three ad concepts on the same offer. Check technical delivery soon after launch, then review at least daily. The spend thresholds on the previous page take precedence over the calendar; the entire first stage need not be consumed before a defect is repaired.</w:t>
      </w:r>
    </w:p>
    <w:p>
      <w:r>
        <w:rPr>
          <w:b w:val="0"/>
        </w:rPr>
        <w:t>Days 4–8: release the next 2,400 SEK only after technical validity and commercial evidence are assessed. Keep the best-supported ads. Change one material factor at a time when a correction is needed; do not rebuild targeting daily.</w:t>
      </w:r>
    </w:p>
    <w:p>
      <w:r>
        <w:rPr>
          <w:b w:val="0"/>
        </w:rPr>
        <w:t>Days 9–10: release the final 600 SEK after reconciling the cumulative total. Use it for the strongest existing path, or a clearly justified correction. Use dedicated retargeting only if a meaningful eligible audience is confirmed. Continue within the residual allowance if the platform underdelivers.</w:t>
      </w:r>
    </w:p>
    <w:p>
      <w:pPr>
        <w:pStyle w:val="Heading2"/>
      </w:pPr>
      <w:r>
        <w:t>The daily record</w:t>
      </w:r>
    </w:p>
    <w:p>
      <w:r>
        <w:rPr>
          <w:b w:val="0"/>
        </w:rPr>
        <w:t>Record date, campaign and ad IDs, settled and provisional spend, outbound clicks, landing visits, carts, checkout starts, paid new-customer orders, gross order value, refunds, estimated contribution, click-attributed purchases, view-attributed purchases and the action taken. Include the current target CPA and the remaining 4,000 SEK allowance.</w:t>
      </w:r>
    </w:p>
    <w:p>
      <w:pPr>
        <w:pStyle w:val="Heading2"/>
      </w:pPr>
      <w:r>
        <w:t>What the research does not promise</w:t>
      </w:r>
    </w:p>
    <w:p>
      <w:r>
        <w:rPr>
          <w:b w:val="0"/>
        </w:rPr>
        <w:t>There is no tactic that guarantees high-speed profitable sales for every store, no supported way to label every feature universally proven, and no honest guarantee of zero wasted spend. The plan concentrates the available evidence, fixes verified blockers first and limits exposure while Noorly learns. All 4,000 SEK remains assigned to ads; deployment pauses if the buying path cannot support it.</w:t>
      </w:r>
    </w:p>
    <w:p>
      <w:r>
        <w:rPr>
          <w:b w:val="0"/>
        </w:rPr>
        <w:t>Next decision inputs: the actual live product URL; Shopify store and launch state; verified price, landed cost, packing, shipping and payment fees; prior project spend; and actual billing treatment. Those facts turn the illustrative CPA limits into operating limits.</w:t>
      </w:r>
    </w:p>
    <w:p>
      <w:r>
        <w:br w:type="page"/>
      </w:r>
    </w:p>
    <w:p>
      <w:pPr>
        <w:pStyle w:val="Heading1"/>
      </w:pPr>
      <w:r>
        <w:t>Research sources and evidence quality</w:t>
      </w:r>
    </w:p>
    <w:p>
      <w:r>
        <w:rPr>
          <w:b w:val="0"/>
        </w:rPr>
        <w:t>All public sources were checked on 20 October 2026 unless a study date is stated. Older studies are retained where the underlying usability issue remains relevant. Reported lifts are local to their study and are not additive. Most technical recommendations are implementation judgments informed by official documentation.</w:t>
      </w:r>
    </w:p>
    <w:p>
      <w:pPr>
        <w:keepLines/>
        <w:spacing w:after="120"/>
      </w:pPr>
      <w:r>
        <w:rPr>
          <w:b/>
          <w:sz w:val="19"/>
        </w:rPr>
        <w:t xml:space="preserve">S1  </w:t>
      </w:r>
      <w:hyperlink r:id="rId11">
        <w:r>
          <w:rPr>
            <w:color w:val="245A74"/>
          </w:rPr>
          <w:t>Meta Blueprint Performance 5</w:t>
        </w:r>
      </w:hyperlink>
      <w:r>
        <w:rPr>
          <w:sz w:val="19"/>
        </w:rPr>
        <w:br/>
        <w:t>Official platform framework: simplify structure, automate, diversify creative, improve data and validate results. Not a Noorly experiment.</w:t>
      </w:r>
    </w:p>
    <w:p>
      <w:pPr>
        <w:keepLines/>
        <w:spacing w:after="120"/>
      </w:pPr>
      <w:r>
        <w:rPr>
          <w:b/>
          <w:sz w:val="19"/>
        </w:rPr>
        <w:t xml:space="preserve">S2  </w:t>
      </w:r>
      <w:hyperlink r:id="rId12">
        <w:r>
          <w:rPr>
            <w:color w:val="245A74"/>
          </w:rPr>
          <w:t>Meta About budgets</w:t>
        </w:r>
      </w:hyperlink>
      <w:r>
        <w:rPr>
          <w:sz w:val="19"/>
        </w:rPr>
        <w:br/>
        <w:t>Official article retrieved through the Meta connector. Daily average versus lifetime cap.</w:t>
      </w:r>
    </w:p>
    <w:p>
      <w:pPr>
        <w:keepLines/>
        <w:spacing w:after="120"/>
      </w:pPr>
      <w:r>
        <w:rPr>
          <w:b/>
          <w:sz w:val="19"/>
        </w:rPr>
        <w:t xml:space="preserve">S3  </w:t>
      </w:r>
      <w:hyperlink r:id="rId13">
        <w:r>
          <w:rPr>
            <w:color w:val="245A74"/>
          </w:rPr>
          <w:t>Meta About ad account spending limits</w:t>
        </w:r>
      </w:hyperlink>
      <w:r>
        <w:rPr>
          <w:sz w:val="19"/>
        </w:rPr>
        <w:br/>
        <w:t>Official connector retrieval. Cross-campaign cap, counters and prepaid limitations.</w:t>
      </w:r>
    </w:p>
    <w:p>
      <w:pPr>
        <w:keepLines/>
        <w:spacing w:after="120"/>
      </w:pPr>
      <w:r>
        <w:rPr>
          <w:b/>
          <w:sz w:val="19"/>
        </w:rPr>
        <w:t xml:space="preserve">S4  </w:t>
      </w:r>
      <w:hyperlink r:id="rId14">
        <w:r>
          <w:rPr>
            <w:color w:val="245A74"/>
          </w:rPr>
          <w:t>Meta Significant edits and learning phase</w:t>
        </w:r>
      </w:hyperlink>
      <w:r>
        <w:rPr>
          <w:sz w:val="19"/>
        </w:rPr>
        <w:br/>
        <w:t>Official connector retrieval. Significant edits can restart learning.</w:t>
      </w:r>
    </w:p>
    <w:p>
      <w:pPr>
        <w:keepLines/>
        <w:spacing w:after="120"/>
      </w:pPr>
      <w:r>
        <w:rPr>
          <w:b/>
          <w:sz w:val="19"/>
        </w:rPr>
        <w:t xml:space="preserve">S5  </w:t>
      </w:r>
      <w:hyperlink r:id="rId15">
        <w:r>
          <w:rPr>
            <w:color w:val="245A74"/>
          </w:rPr>
          <w:t>Meta Conversion locations and events by objective</w:t>
        </w:r>
      </w:hyperlink>
      <w:r>
        <w:rPr>
          <w:sz w:val="19"/>
        </w:rPr>
        <w:br/>
        <w:t>Official connector retrieval. Objective and event definitions.</w:t>
      </w:r>
    </w:p>
    <w:p>
      <w:pPr>
        <w:keepLines/>
        <w:spacing w:after="120"/>
      </w:pPr>
      <w:r>
        <w:rPr>
          <w:b/>
          <w:sz w:val="19"/>
        </w:rPr>
        <w:t xml:space="preserve">S6  </w:t>
      </w:r>
      <w:hyperlink r:id="rId16">
        <w:r>
          <w:rPr>
            <w:color w:val="245A74"/>
          </w:rPr>
          <w:t>Meta About learning limited</w:t>
        </w:r>
      </w:hyperlink>
      <w:r>
        <w:rPr>
          <w:sz w:val="19"/>
        </w:rPr>
        <w:br/>
        <w:t>Official connector retrieval. Approximately 50 optimization events per week in the general description; special cases differ.</w:t>
      </w:r>
    </w:p>
    <w:p>
      <w:pPr>
        <w:keepLines/>
        <w:spacing w:after="120"/>
      </w:pPr>
      <w:r>
        <w:rPr>
          <w:b/>
          <w:sz w:val="19"/>
        </w:rPr>
        <w:t xml:space="preserve">S7  </w:t>
      </w:r>
      <w:hyperlink r:id="rId17">
        <w:r>
          <w:rPr>
            <w:color w:val="245A74"/>
          </w:rPr>
          <w:t>Baymard Product Page UX Best Practices 2026</w:t>
        </w:r>
      </w:hyperlink>
      <w:r>
        <w:rPr>
          <w:sz w:val="19"/>
        </w:rPr>
        <w:br/>
        <w:t>Repeated usability research and benchmark. Supports product clarity and variant usability; no universal lift.</w:t>
      </w:r>
    </w:p>
    <w:p>
      <w:pPr>
        <w:keepLines/>
        <w:spacing w:after="120"/>
      </w:pPr>
      <w:r>
        <w:rPr>
          <w:b/>
          <w:sz w:val="19"/>
        </w:rPr>
        <w:t xml:space="preserve">S8  </w:t>
      </w:r>
      <w:hyperlink r:id="rId18">
        <w:r>
          <w:rPr>
            <w:color w:val="245A74"/>
          </w:rPr>
          <w:t>Baymard Estimated shipping costs on product pages</w:t>
        </w:r>
      </w:hyperlink>
      <w:r>
        <w:rPr>
          <w:sz w:val="19"/>
        </w:rPr>
        <w:br/>
        <w:t>Primary usability study, 2017. Most participants sought shipping costs at the product page.</w:t>
      </w:r>
    </w:p>
    <w:p>
      <w:pPr>
        <w:keepLines/>
        <w:spacing w:after="120"/>
      </w:pPr>
      <w:r>
        <w:rPr>
          <w:b/>
          <w:sz w:val="19"/>
        </w:rPr>
        <w:t xml:space="preserve">S9  </w:t>
      </w:r>
      <w:hyperlink r:id="rId19">
        <w:r>
          <w:rPr>
            <w:color w:val="245A74"/>
          </w:rPr>
          <w:t>Baymard Additional image thumbnails</w:t>
        </w:r>
      </w:hyperlink>
      <w:r>
        <w:rPr>
          <w:sz w:val="19"/>
        </w:rPr>
        <w:br/>
        <w:t>Primary usability research on discovery of additional product images.</w:t>
      </w:r>
    </w:p>
    <w:p>
      <w:pPr>
        <w:keepLines/>
        <w:spacing w:after="120"/>
      </w:pPr>
      <w:r>
        <w:rPr>
          <w:b/>
          <w:sz w:val="19"/>
        </w:rPr>
        <w:t xml:space="preserve">S10  </w:t>
      </w:r>
      <w:hyperlink r:id="rId20">
        <w:r>
          <w:rPr>
            <w:color w:val="245A74"/>
          </w:rPr>
          <w:t>Baymard In scale product images</w:t>
        </w:r>
      </w:hyperlink>
      <w:r>
        <w:rPr>
          <w:sz w:val="19"/>
        </w:rPr>
        <w:br/>
        <w:t>Primary usability evidence for judging size. Complementary zoom research: ensure-sufficient-image-resolution-and-zoom.</w:t>
      </w:r>
    </w:p>
    <w:p>
      <w:pPr>
        <w:keepLines/>
        <w:spacing w:after="120"/>
      </w:pPr>
      <w:r>
        <w:rPr>
          <w:b/>
          <w:sz w:val="19"/>
        </w:rPr>
        <w:t xml:space="preserve">S11  </w:t>
      </w:r>
      <w:hyperlink r:id="rId21">
        <w:r>
          <w:rPr>
            <w:color w:val="245A74"/>
          </w:rPr>
          <w:t>Baymard Direct shipping and returns links</w:t>
        </w:r>
      </w:hyperlink>
      <w:r>
        <w:rPr>
          <w:sz w:val="19"/>
        </w:rPr>
        <w:br/>
        <w:t>Primary usability observations on finding service information.</w:t>
      </w:r>
    </w:p>
    <w:p>
      <w:pPr>
        <w:keepLines/>
        <w:spacing w:after="120"/>
      </w:pPr>
      <w:r>
        <w:rPr>
          <w:b/>
          <w:sz w:val="19"/>
        </w:rPr>
        <w:t xml:space="preserve">S12  </w:t>
      </w:r>
      <w:hyperlink r:id="rId22">
        <w:r>
          <w:rPr>
            <w:color w:val="245A74"/>
          </w:rPr>
          <w:t>Baymard Delivery date versus shipping speed</w:t>
        </w:r>
      </w:hyperlink>
      <w:r>
        <w:rPr>
          <w:sz w:val="19"/>
        </w:rPr>
        <w:br/>
        <w:t>Primary usability evidence for arrival-date clarity.</w:t>
      </w:r>
    </w:p>
    <w:p>
      <w:pPr>
        <w:keepLines/>
        <w:spacing w:after="120"/>
      </w:pPr>
      <w:r>
        <w:rPr>
          <w:b/>
          <w:sz w:val="19"/>
        </w:rPr>
        <w:t xml:space="preserve">S13  </w:t>
      </w:r>
      <w:hyperlink r:id="rId23">
        <w:r>
          <w:rPr>
            <w:color w:val="245A74"/>
          </w:rPr>
          <w:t>Baymard Cart abandonment statistics 2026</w:t>
        </w:r>
      </w:hyperlink>
      <w:r>
        <w:rPr>
          <w:sz w:val="19"/>
        </w:rPr>
        <w:br/>
        <w:t>50-study aggregate around 70% and a US reasons survey. Self-reported reasons and cross-study averages are descriptive.</w:t>
      </w:r>
    </w:p>
    <w:p>
      <w:pPr>
        <w:keepLines/>
        <w:spacing w:after="120"/>
      </w:pPr>
      <w:r>
        <w:rPr>
          <w:b/>
          <w:sz w:val="19"/>
        </w:rPr>
        <w:t xml:space="preserve">S14  </w:t>
      </w:r>
      <w:hyperlink r:id="rId24">
        <w:r>
          <w:rPr>
            <w:color w:val="245A74"/>
          </w:rPr>
          <w:t>Baymard Make guest checkout prominent</w:t>
        </w:r>
      </w:hyperlink>
      <w:r>
        <w:rPr>
          <w:sz w:val="19"/>
        </w:rPr>
        <w:br/>
        <w:t>Repeated usability research. Do not confuse old survey percentages with the current reasons survey.</w:t>
      </w:r>
    </w:p>
    <w:p>
      <w:pPr>
        <w:keepLines/>
        <w:spacing w:after="120"/>
      </w:pPr>
      <w:r>
        <w:rPr>
          <w:b/>
          <w:sz w:val="19"/>
        </w:rPr>
        <w:t xml:space="preserve">S15  </w:t>
      </w:r>
      <w:hyperlink r:id="rId25">
        <w:r>
          <w:rPr>
            <w:color w:val="245A74"/>
          </w:rPr>
          <w:t>Baymard Minimize checkout form fields</w:t>
        </w:r>
      </w:hyperlink>
      <w:r>
        <w:rPr>
          <w:sz w:val="19"/>
        </w:rPr>
        <w:br/>
        <w:t>Primary checkout usability evidence on task effort.</w:t>
      </w:r>
    </w:p>
    <w:p>
      <w:pPr>
        <w:keepLines/>
        <w:spacing w:after="120"/>
      </w:pPr>
      <w:r>
        <w:rPr>
          <w:b/>
          <w:sz w:val="19"/>
        </w:rPr>
        <w:t xml:space="preserve">S16  </w:t>
      </w:r>
      <w:hyperlink r:id="rId26">
        <w:r>
          <w:rPr>
            <w:color w:val="245A74"/>
          </w:rPr>
          <w:t>Baymard User reviews on DTC sites</w:t>
        </w:r>
      </w:hyperlink>
      <w:r>
        <w:rPr>
          <w:sz w:val="19"/>
        </w:rPr>
        <w:br/>
        <w:t>DTC usability findings qualify the common claim that a review widget is always decisive.</w:t>
      </w:r>
    </w:p>
    <w:p>
      <w:pPr>
        <w:keepLines/>
        <w:spacing w:after="120"/>
      </w:pPr>
      <w:r>
        <w:rPr>
          <w:b/>
          <w:sz w:val="19"/>
        </w:rPr>
        <w:t xml:space="preserve">S17  </w:t>
      </w:r>
      <w:hyperlink r:id="rId27">
        <w:r>
          <w:rPr>
            <w:color w:val="245A74"/>
          </w:rPr>
          <w:t>Baymard Avoid intermediary category pages for DTC</w:t>
        </w:r>
      </w:hyperlink>
      <w:r>
        <w:rPr>
          <w:sz w:val="19"/>
        </w:rPr>
        <w:br/>
        <w:t>Primary small-catalogue usability research.</w:t>
      </w:r>
    </w:p>
    <w:p>
      <w:pPr>
        <w:keepLines/>
        <w:spacing w:after="120"/>
      </w:pPr>
      <w:r>
        <w:rPr>
          <w:b/>
          <w:sz w:val="19"/>
        </w:rPr>
        <w:t xml:space="preserve">S18  </w:t>
      </w:r>
      <w:hyperlink r:id="rId28">
        <w:r>
          <w:rPr>
            <w:color w:val="245A74"/>
          </w:rPr>
          <w:t>Baymard Inline form validation</w:t>
        </w:r>
      </w:hyperlink>
      <w:r>
        <w:rPr>
          <w:sz w:val="19"/>
        </w:rPr>
        <w:br/>
        <w:t>Primary usability evidence for correction feedback and field handling.</w:t>
      </w:r>
    </w:p>
    <w:p>
      <w:pPr>
        <w:keepLines/>
        <w:spacing w:after="120"/>
      </w:pPr>
      <w:r>
        <w:rPr>
          <w:b/>
          <w:sz w:val="19"/>
        </w:rPr>
        <w:t xml:space="preserve">S19  </w:t>
      </w:r>
      <w:hyperlink r:id="rId29">
        <w:r>
          <w:rPr>
            <w:color w:val="245A74"/>
          </w:rPr>
          <w:t>Konsumentverket Ecommerce consumer rights</w:t>
        </w:r>
      </w:hyperlink>
      <w:r>
        <w:rPr>
          <w:sz w:val="19"/>
        </w:rPr>
        <w:br/>
        <w:t>Official Swedish consumer guidance; ordinarily 14-day withdrawal rights with applicable exceptions.</w:t>
      </w:r>
    </w:p>
    <w:p>
      <w:pPr>
        <w:keepLines/>
        <w:spacing w:after="120"/>
      </w:pPr>
      <w:r>
        <w:rPr>
          <w:b/>
          <w:sz w:val="19"/>
        </w:rPr>
        <w:t xml:space="preserve">S20  </w:t>
      </w:r>
      <w:hyperlink r:id="rId30">
        <w:r>
          <w:rPr>
            <w:color w:val="245A74"/>
          </w:rPr>
          <w:t>Shopify Payments in Sweden payment methods</w:t>
        </w:r>
      </w:hyperlink>
      <w:r>
        <w:rPr>
          <w:sz w:val="19"/>
        </w:rPr>
        <w:br/>
        <w:t>Official eligibility documentation. Native Shopify Payments Swish listed as Plus only.</w:t>
      </w:r>
    </w:p>
    <w:p>
      <w:pPr>
        <w:keepLines/>
        <w:spacing w:after="120"/>
      </w:pPr>
      <w:r>
        <w:rPr>
          <w:b/>
          <w:sz w:val="19"/>
        </w:rPr>
        <w:t xml:space="preserve">S21  </w:t>
      </w:r>
      <w:hyperlink r:id="rId31">
        <w:r>
          <w:rPr>
            <w:color w:val="245A74"/>
          </w:rPr>
          <w:t>Baymard Payment UX</w:t>
        </w:r>
      </w:hyperlink>
      <w:r>
        <w:rPr>
          <w:sz w:val="19"/>
        </w:rPr>
        <w:br/>
        <w:t>Research synthesis on payment choice, data retention and unobtrusive coupon entry.</w:t>
      </w:r>
    </w:p>
    <w:p>
      <w:pPr>
        <w:keepLines/>
        <w:spacing w:after="120"/>
      </w:pPr>
      <w:r>
        <w:rPr>
          <w:b/>
          <w:sz w:val="19"/>
        </w:rPr>
        <w:t xml:space="preserve">S22  </w:t>
      </w:r>
      <w:hyperlink r:id="rId32">
        <w:r>
          <w:rPr>
            <w:color w:val="245A74"/>
          </w:rPr>
          <w:t>Baymard Cart and checkout research collection</w:t>
        </w:r>
      </w:hyperlink>
      <w:r>
        <w:rPr>
          <w:sz w:val="19"/>
        </w:rPr>
        <w:br/>
        <w:t>Includes relevance problems in cart cross-sells; relevance does not guarantee incremental profit.</w:t>
      </w:r>
    </w:p>
    <w:p>
      <w:pPr>
        <w:keepLines/>
        <w:spacing w:after="120"/>
      </w:pPr>
      <w:r>
        <w:rPr>
          <w:b/>
          <w:sz w:val="19"/>
        </w:rPr>
        <w:t xml:space="preserve">S23  </w:t>
      </w:r>
      <w:hyperlink r:id="rId33">
        <w:r>
          <w:rPr>
            <w:color w:val="245A74"/>
          </w:rPr>
          <w:t>Google Web Vitals</w:t>
        </w:r>
      </w:hyperlink>
      <w:r>
        <w:rPr>
          <w:sz w:val="19"/>
        </w:rPr>
        <w:br/>
        <w:t>Official definitions and 75th-percentile thresholds.</w:t>
      </w:r>
    </w:p>
    <w:p>
      <w:pPr>
        <w:keepLines/>
        <w:spacing w:after="120"/>
      </w:pPr>
      <w:r>
        <w:rPr>
          <w:b/>
          <w:sz w:val="19"/>
        </w:rPr>
        <w:t xml:space="preserve">S24  </w:t>
      </w:r>
      <w:hyperlink r:id="rId34">
        <w:r>
          <w:rPr>
            <w:color w:val="245A74"/>
          </w:rPr>
          <w:t>Google and Vodafone performance A B test</w:t>
        </w:r>
      </w:hyperlink>
      <w:r>
        <w:rPr>
          <w:sz w:val="19"/>
        </w:rPr>
        <w:br/>
        <w:t>2021 randomized landing-page test: 31% LCP improvement associated with 8% more sales in that experiment. Much larger traffic than Noorly.</w:t>
      </w:r>
    </w:p>
    <w:p>
      <w:pPr>
        <w:keepLines/>
        <w:spacing w:after="120"/>
      </w:pPr>
      <w:r>
        <w:rPr>
          <w:b/>
          <w:sz w:val="19"/>
        </w:rPr>
        <w:t xml:space="preserve">S25  </w:t>
      </w:r>
      <w:hyperlink r:id="rId35">
        <w:r>
          <w:rPr>
            <w:color w:val="245A74"/>
          </w:rPr>
          <w:t>PTS Cookies guidance</w:t>
        </w:r>
      </w:hyperlink>
      <w:r>
        <w:rPr>
          <w:sz w:val="19"/>
        </w:rPr>
        <w:br/>
        <w:t>Official Swedish consent guidance. Technical marketing implementation still needs appropriate privacy review.</w:t>
      </w:r>
    </w:p>
    <w:p>
      <w:pPr>
        <w:keepLines/>
        <w:spacing w:after="120"/>
      </w:pPr>
      <w:r>
        <w:rPr>
          <w:b/>
          <w:sz w:val="19"/>
        </w:rPr>
        <w:t xml:space="preserve">S26  </w:t>
      </w:r>
      <w:hyperlink r:id="rId36">
        <w:r>
          <w:rPr>
            <w:color w:val="245A74"/>
          </w:rPr>
          <w:t>Konsumentverket Price information rules for businesses</w:t>
        </w:r>
      </w:hyperlink>
      <w:r>
        <w:rPr>
          <w:sz w:val="19"/>
        </w:rPr>
        <w:br/>
        <w:t>Official current guidance on previous lowest prices when claiming reductions.</w:t>
      </w:r>
    </w:p>
    <w:p>
      <w:pPr>
        <w:keepLines/>
        <w:spacing w:after="120"/>
      </w:pPr>
      <w:r>
        <w:rPr>
          <w:b/>
          <w:sz w:val="19"/>
        </w:rPr>
        <w:t xml:space="preserve">S27  </w:t>
      </w:r>
      <w:hyperlink r:id="rId37">
        <w:r>
          <w:rPr>
            <w:color w:val="245A74"/>
          </w:rPr>
          <w:t>Google Analytics Measure ecommerce</w:t>
        </w:r>
      </w:hyperlink>
      <w:r>
        <w:rPr>
          <w:sz w:val="19"/>
        </w:rPr>
        <w:br/>
        <w:t>Official event names, currency, items and ecommerce payload requirements.</w:t>
      </w:r>
    </w:p>
    <w:p>
      <w:pPr>
        <w:keepLines/>
        <w:spacing w:after="120"/>
      </w:pPr>
      <w:r>
        <w:rPr>
          <w:b/>
          <w:sz w:val="19"/>
        </w:rPr>
        <w:t xml:space="preserve">S28  </w:t>
      </w:r>
      <w:hyperlink r:id="rId38">
        <w:r>
          <w:rPr>
            <w:color w:val="245A74"/>
          </w:rPr>
          <w:t>Meta Handling duplicate Pixel and server events</w:t>
        </w:r>
      </w:hyperlink>
      <w:r>
        <w:rPr>
          <w:sz w:val="19"/>
        </w:rPr>
        <w:br/>
        <w:t>Official technical reference retrieved through the Meta connector, alongside its deduplication help article. Matching event name and event identity are required for the recommended method.</w:t>
      </w:r>
    </w:p>
    <w:p>
      <w:pPr>
        <w:keepLines/>
        <w:spacing w:after="120"/>
      </w:pPr>
      <w:r>
        <w:rPr>
          <w:b/>
          <w:sz w:val="19"/>
        </w:rPr>
        <w:t xml:space="preserve">S29  </w:t>
      </w:r>
      <w:hyperlink r:id="rId39">
        <w:r>
          <w:rPr>
            <w:color w:val="245A74"/>
          </w:rPr>
          <w:t>Shopify Facebook data sharing</w:t>
        </w:r>
      </w:hyperlink>
      <w:r>
        <w:rPr>
          <w:sz w:val="19"/>
        </w:rPr>
        <w:br/>
        <w:t>Official Standard, Enhanced and Maximum descriptions. Does not by itself prove coverage of a custom Next.js frontend.</w:t>
      </w:r>
    </w:p>
    <w:p>
      <w:pPr>
        <w:keepLines/>
        <w:spacing w:after="120"/>
      </w:pPr>
      <w:r>
        <w:rPr>
          <w:b/>
          <w:sz w:val="19"/>
        </w:rPr>
        <w:t xml:space="preserve">S30  </w:t>
      </w:r>
      <w:hyperlink r:id="rId40">
        <w:r>
          <w:rPr>
            <w:color w:val="245A74"/>
          </w:rPr>
          <w:t>BCG and Shopify Leading Online Shoppers to the Finish Line</w:t>
        </w:r>
      </w:hyperlink>
      <w:r>
        <w:rPr>
          <w:sz w:val="19"/>
        </w:rPr>
        <w:br/>
        <w:t>June 2023, over 220,000 sites. Observational and regression-based, vendor-associated research; supports examining accelerated checkout, not a universal uplift promise.</w:t>
      </w:r>
    </w:p>
    <w:p>
      <w:pPr>
        <w:pStyle w:val="Heading2"/>
      </w:pPr>
      <w:r>
        <w:t>Noorly evidence reviewed</w:t>
      </w:r>
    </w:p>
    <w:p>
      <w:r>
        <w:rPr>
          <w:b/>
          <w:sz w:val="19"/>
        </w:rPr>
        <w:t xml:space="preserve">R1  </w:t>
      </w:r>
      <w:hyperlink r:id="rId41">
        <w:r>
          <w:rPr>
            <w:color w:val="245A74"/>
          </w:rPr>
          <w:t>Repository overview</w:t>
        </w:r>
      </w:hyperlink>
      <w:r>
        <w:rPr>
          <w:sz w:val="19"/>
        </w:rPr>
        <w:br/>
        <w:t>Mock commerce, operational prerequisites and placeholder content.</w:t>
      </w:r>
    </w:p>
    <w:p>
      <w:r>
        <w:rPr>
          <w:b/>
          <w:sz w:val="19"/>
        </w:rPr>
        <w:t xml:space="preserve">R2  </w:t>
      </w:r>
      <w:hyperlink r:id="rId42">
        <w:r>
          <w:rPr>
            <w:color w:val="245A74"/>
          </w:rPr>
          <w:t>Noorly setup status</w:t>
        </w:r>
      </w:hyperlink>
      <w:r>
        <w:rPr>
          <w:sz w:val="19"/>
        </w:rPr>
        <w:br/>
        <w:t>Intended domain, merchant setup left for later and launch state.</w:t>
      </w:r>
    </w:p>
    <w:p>
      <w:r>
        <w:rPr>
          <w:b/>
          <w:sz w:val="19"/>
        </w:rPr>
        <w:t xml:space="preserve">R3  </w:t>
      </w:r>
      <w:hyperlink r:id="rId43">
        <w:r>
          <w:rPr>
            <w:color w:val="245A74"/>
          </w:rPr>
          <w:t>Commerce contract</w:t>
        </w:r>
      </w:hyperlink>
      <w:r>
        <w:rPr>
          <w:sz w:val="19"/>
        </w:rPr>
        <w:br/>
        <w:t>Cart, Shopify adapter, checkout and stock handling.</w:t>
      </w:r>
    </w:p>
    <w:p>
      <w:r>
        <w:rPr>
          <w:b/>
          <w:sz w:val="19"/>
        </w:rPr>
        <w:t xml:space="preserve">R4  </w:t>
      </w:r>
      <w:hyperlink r:id="rId44">
        <w:r>
          <w:rPr>
            <w:color w:val="245A74"/>
          </w:rPr>
          <w:t>Analytics contract</w:t>
        </w:r>
      </w:hyperlink>
      <w:r>
        <w:rPr>
          <w:sz w:val="19"/>
        </w:rPr>
        <w:br/>
        <w:t>Internal event taxonomy, consent, server paid events and provider limitations.</w:t>
      </w:r>
    </w:p>
    <w:p>
      <w:r>
        <w:rPr>
          <w:b w:val="0"/>
        </w:rPr>
        <w:t>Also inspected: product route, product-purchase component, cart-view component, analytics client and outbox, paid-order webhook, brand configuration, environment schema, CSP and translations at the same commit. Connected Meta evidence is summarized on page 2; private connector responses have no public research URL.</w:t>
      </w:r>
    </w:p>
    <w:p>
      <w:r>
        <w:rPr>
          <w:b w:val="0"/>
        </w:rPr>
        <w:t>User source: attached Noorly_AI_Agent_Handover.docx, version 1.0 dated 19 October 2026. Saved Noorly creative rules and workflow note dated 20 October 2026 were used for product and visual constraints. Older draft product facts remain unverified for sale.</w:t>
      </w:r>
    </w:p>
    <w:sectPr w:rsidR="00FC693F" w:rsidRPr="0006063C" w:rsidSect="00034616">
      <w:headerReference w:type="default" r:id="rId9"/>
      <w:footerReference w:type="default" r:id="rId10"/>
      <w:pgSz w:w="12240" w:h="15840"/>
      <w:pgMar w:top="979" w:right="1080" w:bottom="936"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checked 20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NOORLY   /   META ADS AND ECOMMERCE CRO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acebookblueprint.com/student/path/253157-performance-5" TargetMode="External"/><Relationship Id="rId12" Type="http://schemas.openxmlformats.org/officeDocument/2006/relationships/hyperlink" Target="https://www.facebook.com/business/help/214319341922580" TargetMode="External"/><Relationship Id="rId13" Type="http://schemas.openxmlformats.org/officeDocument/2006/relationships/hyperlink" Target="https://www.facebook.com/business/help/141820733085330" TargetMode="External"/><Relationship Id="rId14" Type="http://schemas.openxmlformats.org/officeDocument/2006/relationships/hyperlink" Target="https://www.facebook.com/business/help/316478108955072" TargetMode="External"/><Relationship Id="rId15" Type="http://schemas.openxmlformats.org/officeDocument/2006/relationships/hyperlink" Target="https://www.facebook.com/business/help/2035196646663270" TargetMode="External"/><Relationship Id="rId16" Type="http://schemas.openxmlformats.org/officeDocument/2006/relationships/hyperlink" Target="https://www.facebook.com/business/help/269269737396981" TargetMode="External"/><Relationship Id="rId17" Type="http://schemas.openxmlformats.org/officeDocument/2006/relationships/hyperlink" Target="https://baymard.com/research-articles/current-state-ecommerce-product-page-ux" TargetMode="External"/><Relationship Id="rId18" Type="http://schemas.openxmlformats.org/officeDocument/2006/relationships/hyperlink" Target="https://baymard.com/research-articles/show-shipping-costs-on-product-pages" TargetMode="External"/><Relationship Id="rId19" Type="http://schemas.openxmlformats.org/officeDocument/2006/relationships/hyperlink" Target="https://baymard.com/research-articles/always-use-thumbnails-additional-images" TargetMode="External"/><Relationship Id="rId20" Type="http://schemas.openxmlformats.org/officeDocument/2006/relationships/hyperlink" Target="https://baymard.com/research-articles/in-scale-product-images" TargetMode="External"/><Relationship Id="rId21" Type="http://schemas.openxmlformats.org/officeDocument/2006/relationships/hyperlink" Target="https://baymard.com/research-articles/footer-needs-return-shipping-links" TargetMode="External"/><Relationship Id="rId22" Type="http://schemas.openxmlformats.org/officeDocument/2006/relationships/hyperlink" Target="https://baymard.com/research-articles/shipping-speed-vs-delivery-date" TargetMode="External"/><Relationship Id="rId23" Type="http://schemas.openxmlformats.org/officeDocument/2006/relationships/hyperlink" Target="https://baymard.com/lists/cart-abandonment-rate" TargetMode="External"/><Relationship Id="rId24" Type="http://schemas.openxmlformats.org/officeDocument/2006/relationships/hyperlink" Target="https://baymard.com/research-articles/make-guest-checkout-prominent" TargetMode="External"/><Relationship Id="rId25" Type="http://schemas.openxmlformats.org/officeDocument/2006/relationships/hyperlink" Target="https://baymard.com/research-articles/checkout-flow-average-form-fields" TargetMode="External"/><Relationship Id="rId26" Type="http://schemas.openxmlformats.org/officeDocument/2006/relationships/hyperlink" Target="https://baymard.com/research-articles/user-reviews-dtc" TargetMode="External"/><Relationship Id="rId27" Type="http://schemas.openxmlformats.org/officeDocument/2006/relationships/hyperlink" Target="https://baymard.com/research-articles/dtc-avoid-intermediary-category-pages" TargetMode="External"/><Relationship Id="rId28" Type="http://schemas.openxmlformats.org/officeDocument/2006/relationships/hyperlink" Target="https://baymard.com/research-articles/inline-form-validation" TargetMode="External"/><Relationship Id="rId29" Type="http://schemas.openxmlformats.org/officeDocument/2006/relationships/hyperlink" Target="https://www.konsumentverket.se/konsumentratt/e-handel-rattigheter/" TargetMode="External"/><Relationship Id="rId30" Type="http://schemas.openxmlformats.org/officeDocument/2006/relationships/hyperlink" Target="https://help.shopify.com/en/manual/payments/shopify-payments/supported-countries/sweden/payment-methods" TargetMode="External"/><Relationship Id="rId31" Type="http://schemas.openxmlformats.org/officeDocument/2006/relationships/hyperlink" Target="https://baymard.com/blog/payment-ux" TargetMode="External"/><Relationship Id="rId32" Type="http://schemas.openxmlformats.org/officeDocument/2006/relationships/hyperlink" Target="https://baymard.com/research-articles/collections/cart-and-checkout" TargetMode="External"/><Relationship Id="rId33" Type="http://schemas.openxmlformats.org/officeDocument/2006/relationships/hyperlink" Target="https://web.dev/articles/vitals" TargetMode="External"/><Relationship Id="rId34" Type="http://schemas.openxmlformats.org/officeDocument/2006/relationships/hyperlink" Target="https://web.dev/case-studies/vodafone" TargetMode="External"/><Relationship Id="rId35" Type="http://schemas.openxmlformats.org/officeDocument/2006/relationships/hyperlink" Target="https://pts.se/internet-och-telefoni/kakor-cookies/" TargetMode="External"/><Relationship Id="rId36" Type="http://schemas.openxmlformats.org/officeDocument/2006/relationships/hyperlink" Target="https://www.konsumentverket.se/marknadsratt-foretag/prisinformation-regler-for-foretag/" TargetMode="External"/><Relationship Id="rId37" Type="http://schemas.openxmlformats.org/officeDocument/2006/relationships/hyperlink" Target="https://developers.google.com/analytics/devguides/collection/ga4/ecommerce" TargetMode="External"/><Relationship Id="rId38" Type="http://schemas.openxmlformats.org/officeDocument/2006/relationships/hyperlink" Target="https://developers.facebook.com/docs/marketing-api/conversions-api/deduplicate-pixel-and-server-events/" TargetMode="External"/><Relationship Id="rId39" Type="http://schemas.openxmlformats.org/officeDocument/2006/relationships/hyperlink" Target="https://help.shopify.com/en/manual/promoting-marketing/analyze-marketing/meta-data-sharing" TargetMode="External"/><Relationship Id="rId40" Type="http://schemas.openxmlformats.org/officeDocument/2006/relationships/hyperlink" Target="https://web-assets.bcg.com/e4/0c/a1acfc2a4e52a029cb37c6fe83ba/bcg-leading-online-shoppers-to-the-finish-line-june-2023.pdf" TargetMode="External"/><Relationship Id="rId41" Type="http://schemas.openxmlformats.org/officeDocument/2006/relationships/hyperlink" Target="https://github.com/1Alsaad/noorly-gifting/blob/0d130a4dcfdae84d277820b067baf587ba73b9c5/README.md" TargetMode="External"/><Relationship Id="rId42" Type="http://schemas.openxmlformats.org/officeDocument/2006/relationships/hyperlink" Target="https://github.com/1Alsaad/noorly-gifting/blob/0d130a4dcfdae84d277820b067baf587ba73b9c5/docs/noorly-setup.md" TargetMode="External"/><Relationship Id="rId43" Type="http://schemas.openxmlformats.org/officeDocument/2006/relationships/hyperlink" Target="https://github.com/1Alsaad/noorly-gifting/blob/0d130a4dcfdae84d277820b067baf587ba73b9c5/docs/commerce.md" TargetMode="External"/><Relationship Id="rId44" Type="http://schemas.openxmlformats.org/officeDocument/2006/relationships/hyperlink" Target="https://github.com/1Alsaad/noorly-gifting/blob/0d130a4dcfdae84d277820b067baf587ba73b9c5/docs/analytic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Noorly Meta Ads and Ecommerce Conversion Research</dc:title>
  <dc:subject>A fixed 4000 SEK sales strategy and implementation research</dc:subject>
  <dc:creator>Noorly</dc:creator>
  <cp:keywords/>
  <dc:description>generated by python-docx</dc:description>
  <cp:lastModifiedBy/>
  <cp:revision>1</cp:revision>
  <dcterms:created xsi:type="dcterms:W3CDTF">2013-12-23T23:15:00Z</dcterms:created>
  <dcterms:modified xsi:type="dcterms:W3CDTF">2013-12-23T23:15:00Z</dcterms:modified>
  <cp:category/>
</cp:coreProperties>
</file>