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Noorly Objectives and Presale Handover</w:t>
      </w:r>
    </w:p>
    <w:p>
      <w:r>
        <w:rPr>
          <w:b/>
        </w:rPr>
        <w:t>Current operating agreement and next steps</w:t>
      </w:r>
    </w:p>
    <w:p>
      <w:r>
        <w:rPr>
          <w:b w:val="0"/>
        </w:rPr>
        <w:t>Version 1.1 • 21 October 2026 • Sweden • SEK • Europe Stockholm</w:t>
      </w:r>
    </w:p>
    <w:p>
      <w:pPr>
        <w:pStyle w:val="Heading2"/>
      </w:pPr>
      <w:r>
        <w:t>Read this first</w:t>
      </w:r>
    </w:p>
    <w:p>
      <w:r>
        <w:rPr>
          <w:b w:val="0"/>
        </w:rPr>
        <w:t>Use this document at the start of each new Noorly chat. The latest user decisions below supersede conflicting schedules and allocations in the 18 October strategy and the 20 October Meta Ads and CRO research. The earlier research remains useful for CRO evidence; its ten day spending schedule is replaced here.</w:t>
      </w:r>
    </w:p>
    <w:p>
      <w:r>
        <w:rPr>
          <w:b w:val="0"/>
        </w:rPr>
        <w:t>Current objective: validate whether the candle-sand offer can generate commercially viable Swedish orders, using a fixed total advertising allocation of 4,000 SEK. Prepare a clear presale storefront, confirm supply and delivery, then buy traffic. Domain purchase and setup are intended for Friday 23 October 2026; this is a target, not a confirmed launch date.</w:t>
      </w:r>
    </w:p>
    <w:p>
      <w:pPr>
        <w:pStyle w:val="Heading2"/>
      </w:pPr>
      <w:r>
        <w:t>Decisions to keep consistent</w:t>
      </w:r>
    </w:p>
    <w:tbl>
      <w:tblPr>
        <w:tblW w:type="auto" w:w="0"/>
        <w:jc w:val="center"/>
        <w:tblLayout w:type="fixed"/>
        <w:tblLook w:firstColumn="1" w:firstRow="1" w:lastColumn="0" w:lastRow="0" w:noHBand="0" w:noVBand="1" w:val="04A0"/>
      </w:tblPr>
      <w:tblGrid>
        <w:gridCol w:w="2376"/>
        <w:gridCol w:w="7704"/>
      </w:tblGrid>
      <w:tr>
        <w:trPr>
          <w:tblHeader/>
          <w:cantSplit/>
        </w:trPr>
        <w:tc>
          <w:tcPr>
            <w:tcW w:type="dxa" w:w="2376"/>
            <w:vAlign w:val="center"/>
            <w:shd w:fill="33415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Decision</w:t>
            </w:r>
          </w:p>
        </w:tc>
        <w:tc>
          <w:tcPr>
            <w:tcW w:type="dxa" w:w="7704"/>
            <w:vAlign w:val="center"/>
            <w:shd w:fill="33415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Current agreement</w:t>
            </w:r>
          </w:p>
        </w:tc>
      </w:tr>
      <w:tr>
        <w:trPr>
          <w:cantSplit/>
        </w:trPr>
        <w:tc>
          <w:tcPr>
            <w:tcW w:type="dxa" w:w="237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Total advertising budget</w:t>
            </w:r>
          </w:p>
        </w:tc>
        <w:tc>
          <w:tcPr>
            <w:tcW w:type="dxa" w:w="770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4,000 SEK across the entire sequence. No additional budget is authorized.</w:t>
            </w:r>
          </w:p>
        </w:tc>
      </w:tr>
      <w:tr>
        <w:trPr>
          <w:cantSplit/>
        </w:trPr>
        <w:tc>
          <w:tcPr>
            <w:tcW w:type="dxa" w:w="2376"/>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First product offer</w:t>
            </w:r>
          </w:p>
        </w:tc>
        <w:tc>
          <w:tcPr>
            <w:tcW w:type="dxa" w:w="7704"/>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Candle sand. Up to 2,000 SEK for an initial four to five day screening run.</w:t>
            </w:r>
          </w:p>
        </w:tc>
      </w:tr>
      <w:tr>
        <w:trPr>
          <w:cantSplit/>
        </w:trPr>
        <w:tc>
          <w:tcPr>
            <w:tcW w:type="dxa" w:w="237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Remaining allocation</w:t>
            </w:r>
          </w:p>
        </w:tc>
        <w:tc>
          <w:tcPr>
            <w:tcW w:type="dxa" w:w="770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2,000 SEK reserved to continue a promising first offer or test a different offer.</w:t>
            </w:r>
          </w:p>
        </w:tc>
      </w:tr>
      <w:tr>
        <w:trPr>
          <w:cantSplit/>
        </w:trPr>
        <w:tc>
          <w:tcPr>
            <w:tcW w:type="dxa" w:w="2376"/>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Number of product tests</w:t>
            </w:r>
          </w:p>
        </w:tc>
        <w:tc>
          <w:tcPr>
            <w:tcW w:type="dxa" w:w="7704"/>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Plan for two distinct offers sequentially if the first is rejected. The second offer is not yet selected.</w:t>
            </w:r>
          </w:p>
        </w:tc>
      </w:tr>
      <w:tr>
        <w:trPr>
          <w:cantSplit/>
        </w:trPr>
        <w:tc>
          <w:tcPr>
            <w:tcW w:type="dxa" w:w="237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Variants and creatives</w:t>
            </w:r>
          </w:p>
        </w:tc>
        <w:tc>
          <w:tcPr>
            <w:tcW w:type="dxa" w:w="770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Scents, colours and three ad concepts do not count as three separate product tests.</w:t>
            </w:r>
          </w:p>
        </w:tc>
      </w:tr>
      <w:tr>
        <w:trPr>
          <w:cantSplit/>
        </w:trPr>
        <w:tc>
          <w:tcPr>
            <w:tcW w:type="dxa" w:w="2376"/>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Selling mode</w:t>
            </w:r>
          </w:p>
        </w:tc>
        <w:tc>
          <w:tcPr>
            <w:tcW w:type="dxa" w:w="7704"/>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The user now requests presale listings. An unpaid interest form is a different outcome and must be labelled accordingly.</w:t>
            </w:r>
          </w:p>
        </w:tc>
      </w:tr>
    </w:tbl>
    <w:p>
      <w:pPr>
        <w:spacing w:after="0"/>
      </w:pPr>
    </w:p>
    <w:p>
      <w:pPr>
        <w:pStyle w:val="Heading2"/>
      </w:pPr>
      <w:r>
        <w:t>What is complete and what is pending</w:t>
      </w:r>
    </w:p>
    <w:p>
      <w:r>
        <w:rPr>
          <w:b w:val="0"/>
        </w:rPr>
        <w:t>Complete: the operating agreement, public supplier checks, product mapping and a provisional pricing model. The connected Windsor account lists Noorly’s Meta ad account. No ads have been activated during this work.</w:t>
      </w:r>
    </w:p>
    <w:p>
      <w:r>
        <w:t>Pending: store editing access, product updates, final supplier costs and stock dates, payment, delivery terms, domain connection and tracking tests. The user has Shopify admin open for store tzwngp-h1, but that tab is not exposed to the available browser controls. No product or price changes have been saved.</w:t>
      </w:r>
    </w:p>
    <w:p>
      <w:r/>
    </w:p>
    <w:p>
      <w:pPr>
        <w:pStyle w:val="Heading1"/>
        <w:pageBreakBefore/>
      </w:pPr>
      <w:r>
        <w:t>Run the test without splitting the budget</w:t>
      </w:r>
    </w:p>
    <w:p>
      <w:pPr>
        <w:pStyle w:val="Heading2"/>
      </w:pPr>
      <w:r>
        <w:t>Spend allocation</w:t>
      </w:r>
    </w:p>
    <w:tbl>
      <w:tblPr>
        <w:tblW w:type="auto" w:w="0"/>
        <w:jc w:val="center"/>
        <w:tblLayout w:type="fixed"/>
        <w:tblLook w:firstColumn="1" w:firstRow="1" w:lastColumn="0" w:lastRow="0" w:noHBand="0" w:noVBand="1" w:val="04A0"/>
      </w:tblPr>
      <w:tblGrid>
        <w:gridCol w:w="3024"/>
        <w:gridCol w:w="2376"/>
        <w:gridCol w:w="4680"/>
      </w:tblGrid>
      <w:tr>
        <w:trPr>
          <w:tblHeader/>
          <w:cantSplit/>
        </w:trPr>
        <w:tc>
          <w:tcPr>
            <w:tcW w:type="dxa" w:w="3024"/>
            <w:vAlign w:val="center"/>
            <w:shd w:fill="33415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Stage</w:t>
            </w:r>
          </w:p>
        </w:tc>
        <w:tc>
          <w:tcPr>
            <w:tcW w:type="dxa" w:w="2376"/>
            <w:vAlign w:val="center"/>
            <w:shd w:fill="33415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Maximum additional spend</w:t>
            </w:r>
          </w:p>
        </w:tc>
        <w:tc>
          <w:tcPr>
            <w:tcW w:type="dxa" w:w="4680"/>
            <w:vAlign w:val="center"/>
            <w:shd w:fill="33415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Review</w:t>
            </w:r>
          </w:p>
        </w:tc>
      </w:tr>
      <w:tr>
        <w:trPr>
          <w:cantSplit/>
        </w:trPr>
        <w:tc>
          <w:tcPr>
            <w:tcW w:type="dxa" w:w="302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First candle-sand offer</w:t>
            </w:r>
          </w:p>
        </w:tc>
        <w:tc>
          <w:tcPr>
            <w:tcW w:type="dxa" w:w="237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2,000 SEK</w:t>
            </w:r>
          </w:p>
        </w:tc>
        <w:tc>
          <w:tcPr>
            <w:tcW w:type="dxa" w:w="468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Review on day four; decide on day five, subject to traffic and conversion delay.</w:t>
            </w:r>
          </w:p>
        </w:tc>
      </w:tr>
      <w:tr>
        <w:trPr>
          <w:cantSplit/>
        </w:trPr>
        <w:tc>
          <w:tcPr>
            <w:tcW w:type="dxa" w:w="3024"/>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Continuation or backup offer</w:t>
            </w:r>
          </w:p>
        </w:tc>
        <w:tc>
          <w:tcPr>
            <w:tcW w:type="dxa" w:w="2376"/>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2,000 SEK</w:t>
            </w:r>
          </w:p>
        </w:tc>
        <w:tc>
          <w:tcPr>
            <w:tcW w:type="dxa" w:w="4680"/>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Use for the strongest justified next step. This is the remaining allocation, not a new budget.</w:t>
            </w:r>
          </w:p>
        </w:tc>
      </w:tr>
      <w:tr>
        <w:trPr>
          <w:cantSplit/>
        </w:trPr>
        <w:tc>
          <w:tcPr>
            <w:tcW w:type="dxa" w:w="302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Total</w:t>
            </w:r>
          </w:p>
        </w:tc>
        <w:tc>
          <w:tcPr>
            <w:tcW w:type="dxa" w:w="237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4,000 SEK</w:t>
            </w:r>
          </w:p>
        </w:tc>
        <w:tc>
          <w:tcPr>
            <w:tcW w:type="dxa" w:w="468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Reconcile actual spend across all participating campaigns.</w:t>
            </w:r>
          </w:p>
        </w:tc>
      </w:tr>
    </w:tbl>
    <w:p>
      <w:pPr>
        <w:spacing w:after="0"/>
      </w:pPr>
    </w:p>
    <w:p>
      <w:r>
        <w:rPr>
          <w:b w:val="0"/>
        </w:rPr>
        <w:t>At full delivery, the first stage averages 500 SEK per day over four days or 400 SEK per day over five days. These are pacing calculations. Use a bounded lifetime allowance and verify readback; a Meta daily budget is an average. Any prior spend from this allocation reduces the remainder. Software, stock, domain and fulfilment costs are separate expenses and are not authorized from the media allocation.</w:t>
      </w:r>
    </w:p>
    <w:p>
      <w:r>
        <w:rPr>
          <w:b w:val="0"/>
        </w:rPr>
        <w:t>All 4,000 SEK remains earmarked for advertising. A pause can defer or redirect the remaining spend after a problem is resolved. Exact spend to the last öre cannot be guaranteed by platform delivery; never exceed the ceiling to force an exact total.</w:t>
      </w:r>
    </w:p>
    <w:p>
      <w:pPr>
        <w:pStyle w:val="Heading2"/>
      </w:pPr>
      <w:r>
        <w:t>Four to five days is an early screen</w:t>
      </w:r>
    </w:p>
    <w:p>
      <w:r>
        <w:rPr>
          <w:b w:val="0"/>
        </w:rPr>
        <w:t>A short run can reveal poor delivery, broken checkout, obvious price resistance and initial purchases. It cannot reliably establish every product’s long-term potential. Meta recommends at least seven days for a formal A/B test. This plan uses four to five days for a budget-limited directional review, not a statistically conclusive A/B winner. [S1]</w:t>
      </w:r>
    </w:p>
    <w:p>
      <w:pPr>
        <w:keepLines/>
      </w:pPr>
      <w:r>
        <w:rPr>
          <w:b/>
        </w:rPr>
        <w:t xml:space="preserve">Record daily. </w:t>
      </w:r>
      <w:r>
        <w:t>Spend, landing-page views, cost per landing-page view, paid presale orders, collected revenue, refunds and acquisition cost. Inspect carts and checkout starts to diagnose friction. Reconcile paid orders with Shopify; interest submissions and unpaid reservations are not sales.</w:t>
      </w:r>
    </w:p>
    <w:p>
      <w:pPr>
        <w:keepLines/>
      </w:pPr>
      <w:r>
        <w:rPr>
          <w:b/>
        </w:rPr>
        <w:t xml:space="preserve">Continue. </w:t>
      </w:r>
      <w:r>
        <w:t>Purchases occur at or near the contribution-based CPA target, delivery is credible, and results justify using the reserve. A few orders remain uncertain evidence; retain the budget ceiling.</w:t>
      </w:r>
    </w:p>
    <w:p>
      <w:pPr>
        <w:keepLines/>
      </w:pPr>
      <w:r>
        <w:rPr>
          <w:b/>
        </w:rPr>
        <w:t xml:space="preserve">Repair or pause. </w:t>
      </w:r>
      <w:r>
        <w:t>Tracking fails, the wrong price appears, payment fails, mobile usability blocks buying, or the supplier cannot support the delivery promise. Resolve the cause before spending further.</w:t>
      </w:r>
    </w:p>
    <w:p>
      <w:pPr>
        <w:keepLines/>
      </w:pPr>
      <w:r>
        <w:rPr>
          <w:b/>
        </w:rPr>
        <w:t xml:space="preserve">Switch or remain inconclusive. </w:t>
      </w:r>
      <w:r>
        <w:t>Poor purchase economics after meaningful price-exposed traffic supports switching. Insufficient traffic or delayed conversions supports an inconclusive decision. Do not call the product a failure solely because day five arrived.</w:t>
      </w:r>
    </w:p>
    <w:p>
      <w:r>
        <w:rPr>
          <w:b w:val="0"/>
        </w:rPr>
        <w:t>Proposed exposure rule: investigate after spending one target CPA without a paid order; consider pausing after three target CPAs without an order once tracking and conversion delay are checked. This limits losses and is not statistical proof of failure. At an illustrative 4 SEK per landing visit, 2,000 SEK buys about 500 visits; actual delivery can differ substantially.</w:t>
      </w:r>
    </w:p>
    <w:p>
      <w:r/>
    </w:p>
    <w:p>
      <w:pPr>
        <w:pStyle w:val="Heading1"/>
        <w:pageBreakBefore/>
      </w:pPr>
      <w:r>
        <w:t>Keep one accurate candle sand catalogue</w:t>
      </w:r>
    </w:p>
    <w:p>
      <w:r>
        <w:rPr>
          <w:b w:val="0"/>
        </w:rPr>
        <w:t>Prepare one main product, “Ljussand 300 g”, with scent and colour variants. Keep variants as drafts until supply is confirmed. The public AW Dropship family feed reports all eleven codes at stock 0 on 21 October; the merchant account and restock dates remain unverified. Product availability must be checked again before publishing. [S2]</w:t>
      </w:r>
    </w:p>
    <w:tbl>
      <w:tblPr>
        <w:tblW w:type="auto" w:w="0"/>
        <w:jc w:val="center"/>
        <w:tblLayout w:type="fixed"/>
        <w:tblLook w:firstColumn="1" w:firstRow="1" w:lastColumn="0" w:lastRow="0" w:noHBand="0" w:noVBand="1" w:val="04A0"/>
      </w:tblPr>
      <w:tblGrid>
        <w:gridCol w:w="1944"/>
        <w:gridCol w:w="4680"/>
        <w:gridCol w:w="3456"/>
      </w:tblGrid>
      <w:tr>
        <w:trPr>
          <w:tblHeader/>
          <w:cantSplit/>
        </w:trPr>
        <w:tc>
          <w:tcPr>
            <w:tcW w:type="dxa" w:w="1944"/>
            <w:vAlign w:val="center"/>
            <w:shd w:fill="33415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Supplier SKU</w:t>
            </w:r>
          </w:p>
        </w:tc>
        <w:tc>
          <w:tcPr>
            <w:tcW w:type="dxa" w:w="4680"/>
            <w:vAlign w:val="center"/>
            <w:shd w:fill="33415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Scent or identity</w:t>
            </w:r>
          </w:p>
        </w:tc>
        <w:tc>
          <w:tcPr>
            <w:tcW w:type="dxa" w:w="3456"/>
            <w:vAlign w:val="center"/>
            <w:shd w:fill="33415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Swedish colour</w:t>
            </w:r>
          </w:p>
        </w:tc>
      </w:tr>
      <w:tr>
        <w:trPr>
          <w:cantSplit/>
        </w:trPr>
        <w:tc>
          <w:tcPr>
            <w:tcW w:type="dxa" w:w="194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CSand-01</w:t>
            </w:r>
          </w:p>
        </w:tc>
        <w:tc>
          <w:tcPr>
            <w:tcW w:type="dxa" w:w="468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Crimson Crystal</w:t>
            </w:r>
          </w:p>
        </w:tc>
        <w:tc>
          <w:tcPr>
            <w:tcW w:type="dxa" w:w="345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Mockabrun</w:t>
            </w:r>
          </w:p>
        </w:tc>
      </w:tr>
      <w:tr>
        <w:trPr>
          <w:cantSplit/>
        </w:trPr>
        <w:tc>
          <w:tcPr>
            <w:tcW w:type="dxa" w:w="1944"/>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CSand-02</w:t>
            </w:r>
          </w:p>
        </w:tc>
        <w:tc>
          <w:tcPr>
            <w:tcW w:type="dxa" w:w="4680"/>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Pure Serenity</w:t>
            </w:r>
          </w:p>
        </w:tc>
        <w:tc>
          <w:tcPr>
            <w:tcW w:type="dxa" w:w="3456"/>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Lattebeige</w:t>
            </w:r>
          </w:p>
        </w:tc>
      </w:tr>
      <w:tr>
        <w:trPr>
          <w:cantSplit/>
        </w:trPr>
        <w:tc>
          <w:tcPr>
            <w:tcW w:type="dxa" w:w="194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CSand-03</w:t>
            </w:r>
          </w:p>
        </w:tc>
        <w:tc>
          <w:tcPr>
            <w:tcW w:type="dxa" w:w="468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Starlight Elixir</w:t>
            </w:r>
          </w:p>
        </w:tc>
        <w:tc>
          <w:tcPr>
            <w:tcW w:type="dxa" w:w="345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Vit</w:t>
            </w:r>
          </w:p>
        </w:tc>
      </w:tr>
      <w:tr>
        <w:trPr>
          <w:cantSplit/>
        </w:trPr>
        <w:tc>
          <w:tcPr>
            <w:tcW w:type="dxa" w:w="1944"/>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CSand-04</w:t>
            </w:r>
          </w:p>
        </w:tc>
        <w:tc>
          <w:tcPr>
            <w:tcW w:type="dxa" w:w="4680"/>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Millionaire Gold</w:t>
            </w:r>
          </w:p>
        </w:tc>
        <w:tc>
          <w:tcPr>
            <w:tcW w:type="dxa" w:w="3456"/>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Chokladbrun</w:t>
            </w:r>
          </w:p>
        </w:tc>
      </w:tr>
      <w:tr>
        <w:trPr>
          <w:cantSplit/>
        </w:trPr>
        <w:tc>
          <w:tcPr>
            <w:tcW w:type="dxa" w:w="194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CSand-05</w:t>
            </w:r>
          </w:p>
        </w:tc>
        <w:tc>
          <w:tcPr>
            <w:tcW w:type="dxa" w:w="468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Azure Noir</w:t>
            </w:r>
          </w:p>
        </w:tc>
        <w:tc>
          <w:tcPr>
            <w:tcW w:type="dxa" w:w="345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Varmgrå</w:t>
            </w:r>
          </w:p>
        </w:tc>
      </w:tr>
      <w:tr>
        <w:trPr>
          <w:cantSplit/>
        </w:trPr>
        <w:tc>
          <w:tcPr>
            <w:tcW w:type="dxa" w:w="1944"/>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CSand-06</w:t>
            </w:r>
          </w:p>
        </w:tc>
        <w:tc>
          <w:tcPr>
            <w:tcW w:type="dxa" w:w="4680"/>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Cobalt</w:t>
            </w:r>
          </w:p>
        </w:tc>
        <w:tc>
          <w:tcPr>
            <w:tcW w:type="dxa" w:w="3456"/>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Taupeorange</w:t>
            </w:r>
          </w:p>
        </w:tc>
      </w:tr>
      <w:tr>
        <w:trPr>
          <w:cantSplit/>
        </w:trPr>
        <w:tc>
          <w:tcPr>
            <w:tcW w:type="dxa" w:w="194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CSand-07</w:t>
            </w:r>
          </w:p>
        </w:tc>
        <w:tc>
          <w:tcPr>
            <w:tcW w:type="dxa" w:w="468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Maison de Roses</w:t>
            </w:r>
          </w:p>
        </w:tc>
        <w:tc>
          <w:tcPr>
            <w:tcW w:type="dxa" w:w="345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Gammalrosa</w:t>
            </w:r>
          </w:p>
        </w:tc>
      </w:tr>
      <w:tr>
        <w:trPr>
          <w:cantSplit/>
        </w:trPr>
        <w:tc>
          <w:tcPr>
            <w:tcW w:type="dxa" w:w="1944"/>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CSand-08</w:t>
            </w:r>
          </w:p>
        </w:tc>
        <w:tc>
          <w:tcPr>
            <w:tcW w:type="dxa" w:w="4680"/>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Blush Bloom</w:t>
            </w:r>
          </w:p>
        </w:tc>
        <w:tc>
          <w:tcPr>
            <w:tcW w:type="dxa" w:w="3456"/>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Varm honung</w:t>
            </w:r>
          </w:p>
        </w:tc>
      </w:tr>
      <w:tr>
        <w:trPr>
          <w:cantSplit/>
        </w:trPr>
        <w:tc>
          <w:tcPr>
            <w:tcW w:type="dxa" w:w="194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CSand-09</w:t>
            </w:r>
          </w:p>
        </w:tc>
        <w:tc>
          <w:tcPr>
            <w:tcW w:type="dxa" w:w="468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Spirited</w:t>
            </w:r>
          </w:p>
        </w:tc>
        <w:tc>
          <w:tcPr>
            <w:tcW w:type="dxa" w:w="345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Svart</w:t>
            </w:r>
          </w:p>
        </w:tc>
      </w:tr>
      <w:tr>
        <w:trPr>
          <w:cantSplit/>
        </w:trPr>
        <w:tc>
          <w:tcPr>
            <w:tcW w:type="dxa" w:w="1944"/>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CSand-10</w:t>
            </w:r>
          </w:p>
        </w:tc>
        <w:tc>
          <w:tcPr>
            <w:tcW w:type="dxa" w:w="4680"/>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Regent Polo</w:t>
            </w:r>
          </w:p>
        </w:tc>
        <w:tc>
          <w:tcPr>
            <w:tcW w:type="dxa" w:w="3456"/>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Kräm</w:t>
            </w:r>
          </w:p>
        </w:tc>
      </w:tr>
      <w:tr>
        <w:trPr>
          <w:cantSplit/>
        </w:trPr>
        <w:tc>
          <w:tcPr>
            <w:tcW w:type="dxa" w:w="194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CSand-11</w:t>
            </w:r>
          </w:p>
        </w:tc>
        <w:tc>
          <w:tcPr>
            <w:tcW w:type="dxa" w:w="468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Doftfri</w:t>
            </w:r>
          </w:p>
        </w:tc>
        <w:tc>
          <w:tcPr>
            <w:tcW w:type="dxa" w:w="345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Vit</w:t>
            </w:r>
          </w:p>
        </w:tc>
      </w:tr>
    </w:tbl>
    <w:p>
      <w:pPr>
        <w:spacing w:after="0"/>
      </w:pPr>
    </w:p>
    <w:p>
      <w:pPr>
        <w:pStyle w:val="Heading2"/>
      </w:pPr>
      <w:r>
        <w:t>Product facts and content rules</w:t>
      </w:r>
    </w:p>
    <w:p>
      <w:r>
        <w:rPr>
          <w:b w:val="0"/>
        </w:rPr>
        <w:t>The supplier’s CSand-01 page describes one 300 g pouch of stearic-acid wax with four cotton wicks. Verify the remaining variants against their own descriptions before applying the same contents to all of them. A vessel is not included unless separately sourced and explicitly listed. The wholesale listing is a case of three; do not confuse a case with one retail pouch. [S3]</w:t>
      </w:r>
    </w:p>
    <w:p>
      <w:r>
        <w:rPr>
          <w:b w:val="0"/>
        </w:rPr>
        <w:t>Use the correct photos for each variant, show the actual pouch and contents, and describe suitable heat-resistant candle vessels and the supplier’s instructions. Keep unsupported burn-time, environmental, health and safety claims out of the listing. Noorly creative rules require no faces, accurate scent and colour identities, and preparation while unlit.</w:t>
      </w:r>
    </w:p>
    <w:p>
      <w:pPr>
        <w:pStyle w:val="Heading2"/>
      </w:pPr>
      <w:r>
        <w:t>Replace development products before launch</w:t>
      </w:r>
    </w:p>
    <w:p>
      <w:r>
        <w:rPr>
          <w:b w:val="0"/>
        </w:rPr>
        <w:t>The GitHub catalogue still contains mock gift boxes, tea, chocolate, linen and packaging, with mock product IDs and example prices. These are development records, not verified supplier stock. Replace or hide them in the production buying flow. The previously recorded Shopify “Ljussand – 300g” draft still needs a live check; its old placeholder price is not an approved selling price.</w:t>
      </w:r>
    </w:p>
    <w:p>
      <w:r/>
    </w:p>
    <w:p>
      <w:pPr>
        <w:pStyle w:val="Heading1"/>
        <w:pageBreakBefore/>
      </w:pPr>
      <w:r>
        <w:t>Provisional prices and the margin they leave</w:t>
      </w:r>
    </w:p>
    <w:p>
      <w:r>
        <w:rPr>
          <w:b w:val="0"/>
        </w:rPr>
        <w:t>The following is a concrete pricing draft, not a claim that these prices are proven or already published. It assumes AW direct dropshipping to Sweden. Confirm the account checkout quote, tax treatment, packed weight and fees before making the draft final. A stock date is also required. [S2–S5]</w:t>
      </w:r>
    </w:p>
    <w:tbl>
      <w:tblPr>
        <w:tblW w:type="auto" w:w="0"/>
        <w:jc w:val="center"/>
        <w:tblLayout w:type="fixed"/>
        <w:tblLook w:firstColumn="1" w:firstRow="1" w:lastColumn="0" w:lastRow="0" w:noHBand="0" w:noVBand="1" w:val="04A0"/>
      </w:tblPr>
      <w:tblGrid>
        <w:gridCol w:w="3960"/>
        <w:gridCol w:w="2016"/>
        <w:gridCol w:w="1800"/>
        <w:gridCol w:w="2304"/>
      </w:tblGrid>
      <w:tr>
        <w:trPr>
          <w:tblHeader/>
          <w:cantSplit/>
        </w:trPr>
        <w:tc>
          <w:tcPr>
            <w:tcW w:type="dxa" w:w="3960"/>
            <w:vAlign w:val="center"/>
            <w:shd w:fill="33415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Draft offer</w:t>
            </w:r>
          </w:p>
        </w:tc>
        <w:tc>
          <w:tcPr>
            <w:tcW w:type="dxa" w:w="2016"/>
            <w:vAlign w:val="center"/>
            <w:shd w:fill="33415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Product price</w:t>
            </w:r>
          </w:p>
        </w:tc>
        <w:tc>
          <w:tcPr>
            <w:tcW w:type="dxa" w:w="1800"/>
            <w:vAlign w:val="center"/>
            <w:shd w:fill="33415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Delivery</w:t>
            </w:r>
          </w:p>
        </w:tc>
        <w:tc>
          <w:tcPr>
            <w:tcW w:type="dxa" w:w="2304"/>
            <w:vAlign w:val="center"/>
            <w:shd w:fill="33415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Customer total</w:t>
            </w:r>
          </w:p>
        </w:tc>
      </w:tr>
      <w:tr>
        <w:trPr>
          <w:cantSplit/>
        </w:trPr>
        <w:tc>
          <w:tcPr>
            <w:tcW w:type="dxa" w:w="396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Scented pouch 300 g</w:t>
            </w:r>
          </w:p>
        </w:tc>
        <w:tc>
          <w:tcPr>
            <w:tcW w:type="dxa" w:w="201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249 SEK</w:t>
            </w:r>
          </w:p>
        </w:tc>
        <w:tc>
          <w:tcPr>
            <w:tcW w:type="dxa" w:w="180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99 SEK</w:t>
            </w:r>
          </w:p>
        </w:tc>
        <w:tc>
          <w:tcPr>
            <w:tcW w:type="dxa" w:w="230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348 SEK</w:t>
            </w:r>
          </w:p>
        </w:tc>
      </w:tr>
      <w:tr>
        <w:trPr>
          <w:cantSplit/>
        </w:trPr>
        <w:tc>
          <w:tcPr>
            <w:tcW w:type="dxa" w:w="3960"/>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Unscented pouch 300 g</w:t>
            </w:r>
          </w:p>
        </w:tc>
        <w:tc>
          <w:tcPr>
            <w:tcW w:type="dxa" w:w="2016"/>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199 SEK</w:t>
            </w:r>
          </w:p>
        </w:tc>
        <w:tc>
          <w:tcPr>
            <w:tcW w:type="dxa" w:w="1800"/>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99 SEK</w:t>
            </w:r>
          </w:p>
        </w:tc>
        <w:tc>
          <w:tcPr>
            <w:tcW w:type="dxa" w:w="2304"/>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298 SEK</w:t>
            </w:r>
          </w:p>
        </w:tc>
      </w:tr>
      <w:tr>
        <w:trPr>
          <w:cantSplit/>
        </w:trPr>
        <w:tc>
          <w:tcPr>
            <w:tcW w:type="dxa" w:w="396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Two scented pouches 600 g</w:t>
            </w:r>
          </w:p>
        </w:tc>
        <w:tc>
          <w:tcPr>
            <w:tcW w:type="dxa" w:w="201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449 SEK</w:t>
            </w:r>
          </w:p>
        </w:tc>
        <w:tc>
          <w:tcPr>
            <w:tcW w:type="dxa" w:w="180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99 SEK</w:t>
            </w:r>
          </w:p>
        </w:tc>
        <w:tc>
          <w:tcPr>
            <w:tcW w:type="dxa" w:w="230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548 SEK</w:t>
            </w:r>
          </w:p>
        </w:tc>
      </w:tr>
    </w:tbl>
    <w:p>
      <w:pPr>
        <w:spacing w:after="0"/>
      </w:pPr>
    </w:p>
    <w:p>
      <w:r>
        <w:rPr>
          <w:b w:val="0"/>
        </w:rPr>
        <w:t>All customer amounts above include an assumed 25% VAT. The two-pouch selection is an optional basket within the candle-sand offer, not the distinct backup product. It requires confirmation that AW ships both chosen codes in one parcel at the quoted rate. Do not advertise gift wrapping or a vessel as included.</w:t>
      </w:r>
    </w:p>
    <w:p>
      <w:pPr>
        <w:pStyle w:val="Heading2"/>
      </w:pPr>
      <w:r>
        <w:t>Transparent cost assumptions</w:t>
      </w:r>
    </w:p>
    <w:p>
      <w:r>
        <w:rPr>
          <w:b w:val="0"/>
        </w:rPr>
        <w:t>Public feed prices are €6.25 per scented pouch and €5.00 unscented; AW states its prices exclude VAT. Swedish dropship postage is listed at €9.60 for 0–2 kg. The ECB reference on 20 October is 11.1230 SEK per euro, used only for modelling. Actual conversion charges can increase costs. [S2, S4, S5]</w:t>
      </w:r>
    </w:p>
    <w:tbl>
      <w:tblPr>
        <w:tblW w:type="auto" w:w="0"/>
        <w:jc w:val="center"/>
        <w:tblLayout w:type="fixed"/>
        <w:tblLook w:firstColumn="1" w:firstRow="1" w:lastColumn="0" w:lastRow="0" w:noHBand="0" w:noVBand="1" w:val="04A0"/>
      </w:tblPr>
      <w:tblGrid>
        <w:gridCol w:w="3816"/>
        <w:gridCol w:w="2088"/>
        <w:gridCol w:w="2088"/>
        <w:gridCol w:w="2088"/>
      </w:tblGrid>
      <w:tr>
        <w:trPr>
          <w:tblHeader/>
          <w:cantSplit/>
        </w:trPr>
        <w:tc>
          <w:tcPr>
            <w:tcW w:type="dxa" w:w="3816"/>
            <w:vAlign w:val="center"/>
            <w:shd w:fill="33415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SEK per order</w:t>
            </w:r>
          </w:p>
        </w:tc>
        <w:tc>
          <w:tcPr>
            <w:tcW w:type="dxa" w:w="2088"/>
            <w:vAlign w:val="center"/>
            <w:shd w:fill="33415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Scented single</w:t>
            </w:r>
          </w:p>
        </w:tc>
        <w:tc>
          <w:tcPr>
            <w:tcW w:type="dxa" w:w="2088"/>
            <w:vAlign w:val="center"/>
            <w:shd w:fill="33415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Unscented single</w:t>
            </w:r>
          </w:p>
        </w:tc>
        <w:tc>
          <w:tcPr>
            <w:tcW w:type="dxa" w:w="2088"/>
            <w:vAlign w:val="center"/>
            <w:shd w:fill="33415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Scented pair</w:t>
            </w:r>
          </w:p>
        </w:tc>
      </w:tr>
      <w:tr>
        <w:trPr>
          <w:cantSplit/>
        </w:trPr>
        <w:tc>
          <w:tcPr>
            <w:tcW w:type="dxa" w:w="381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Customer total</w:t>
            </w:r>
          </w:p>
        </w:tc>
        <w:tc>
          <w:tcPr>
            <w:tcW w:type="dxa" w:w="208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348.00</w:t>
            </w:r>
          </w:p>
        </w:tc>
        <w:tc>
          <w:tcPr>
            <w:tcW w:type="dxa" w:w="208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298.00</w:t>
            </w:r>
          </w:p>
        </w:tc>
        <w:tc>
          <w:tcPr>
            <w:tcW w:type="dxa" w:w="208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548.00</w:t>
            </w:r>
          </w:p>
        </w:tc>
      </w:tr>
      <w:tr>
        <w:trPr>
          <w:cantSplit/>
        </w:trPr>
        <w:tc>
          <w:tcPr>
            <w:tcW w:type="dxa" w:w="3816"/>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Receipts excluding assumed VAT</w:t>
            </w:r>
          </w:p>
        </w:tc>
        <w:tc>
          <w:tcPr>
            <w:tcW w:type="dxa" w:w="2088"/>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278.40</w:t>
            </w:r>
          </w:p>
        </w:tc>
        <w:tc>
          <w:tcPr>
            <w:tcW w:type="dxa" w:w="2088"/>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238.40</w:t>
            </w:r>
          </w:p>
        </w:tc>
        <w:tc>
          <w:tcPr>
            <w:tcW w:type="dxa" w:w="2088"/>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438.40</w:t>
            </w:r>
          </w:p>
        </w:tc>
      </w:tr>
      <w:tr>
        <w:trPr>
          <w:cantSplit/>
        </w:trPr>
        <w:tc>
          <w:tcPr>
            <w:tcW w:type="dxa" w:w="381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Product cost</w:t>
            </w:r>
          </w:p>
        </w:tc>
        <w:tc>
          <w:tcPr>
            <w:tcW w:type="dxa" w:w="208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69.52</w:t>
            </w:r>
          </w:p>
        </w:tc>
        <w:tc>
          <w:tcPr>
            <w:tcW w:type="dxa" w:w="208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55.62</w:t>
            </w:r>
          </w:p>
        </w:tc>
        <w:tc>
          <w:tcPr>
            <w:tcW w:type="dxa" w:w="208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139.04</w:t>
            </w:r>
          </w:p>
        </w:tc>
      </w:tr>
      <w:tr>
        <w:trPr>
          <w:cantSplit/>
        </w:trPr>
        <w:tc>
          <w:tcPr>
            <w:tcW w:type="dxa" w:w="3816"/>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Supplier postage</w:t>
            </w:r>
          </w:p>
        </w:tc>
        <w:tc>
          <w:tcPr>
            <w:tcW w:type="dxa" w:w="2088"/>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106.78</w:t>
            </w:r>
          </w:p>
        </w:tc>
        <w:tc>
          <w:tcPr>
            <w:tcW w:type="dxa" w:w="2088"/>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106.78</w:t>
            </w:r>
          </w:p>
        </w:tc>
        <w:tc>
          <w:tcPr>
            <w:tcW w:type="dxa" w:w="2088"/>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106.78</w:t>
            </w:r>
          </w:p>
        </w:tc>
      </w:tr>
      <w:tr>
        <w:trPr>
          <w:cantSplit/>
        </w:trPr>
        <w:tc>
          <w:tcPr>
            <w:tcW w:type="dxa" w:w="381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Before fees returns and ads</w:t>
            </w:r>
          </w:p>
        </w:tc>
        <w:tc>
          <w:tcPr>
            <w:tcW w:type="dxa" w:w="208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102.10</w:t>
            </w:r>
          </w:p>
        </w:tc>
        <w:tc>
          <w:tcPr>
            <w:tcW w:type="dxa" w:w="208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76.00</w:t>
            </w:r>
          </w:p>
        </w:tc>
        <w:tc>
          <w:tcPr>
            <w:tcW w:type="dxa" w:w="208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192.58</w:t>
            </w:r>
          </w:p>
        </w:tc>
      </w:tr>
      <w:tr>
        <w:trPr>
          <w:cantSplit/>
        </w:trPr>
        <w:tc>
          <w:tcPr>
            <w:tcW w:type="dxa" w:w="3816"/>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Assumed payment cost</w:t>
            </w:r>
          </w:p>
        </w:tc>
        <w:tc>
          <w:tcPr>
            <w:tcW w:type="dxa" w:w="2088"/>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11.00</w:t>
            </w:r>
          </w:p>
        </w:tc>
        <w:tc>
          <w:tcPr>
            <w:tcW w:type="dxa" w:w="2088"/>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11.00</w:t>
            </w:r>
          </w:p>
        </w:tc>
        <w:tc>
          <w:tcPr>
            <w:tcW w:type="dxa" w:w="2088"/>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16.00</w:t>
            </w:r>
          </w:p>
        </w:tc>
      </w:tr>
      <w:tr>
        <w:trPr>
          <w:cantSplit/>
        </w:trPr>
        <w:tc>
          <w:tcPr>
            <w:tcW w:type="dxa" w:w="381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Assumed net returns allowance</w:t>
            </w:r>
          </w:p>
        </w:tc>
        <w:tc>
          <w:tcPr>
            <w:tcW w:type="dxa" w:w="208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10.00</w:t>
            </w:r>
          </w:p>
        </w:tc>
        <w:tc>
          <w:tcPr>
            <w:tcW w:type="dxa" w:w="208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10.00</w:t>
            </w:r>
          </w:p>
        </w:tc>
        <w:tc>
          <w:tcPr>
            <w:tcW w:type="dxa" w:w="208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15.00</w:t>
            </w:r>
          </w:p>
        </w:tc>
      </w:tr>
      <w:tr>
        <w:trPr>
          <w:cantSplit/>
        </w:trPr>
        <w:tc>
          <w:tcPr>
            <w:tcW w:type="dxa" w:w="3816"/>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Contribution before ads</w:t>
            </w:r>
          </w:p>
        </w:tc>
        <w:tc>
          <w:tcPr>
            <w:tcW w:type="dxa" w:w="2088"/>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81.10</w:t>
            </w:r>
          </w:p>
        </w:tc>
        <w:tc>
          <w:tcPr>
            <w:tcW w:type="dxa" w:w="2088"/>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55.00</w:t>
            </w:r>
          </w:p>
        </w:tc>
        <w:tc>
          <w:tcPr>
            <w:tcW w:type="dxa" w:w="2088"/>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161.58</w:t>
            </w:r>
          </w:p>
        </w:tc>
      </w:tr>
      <w:tr>
        <w:trPr>
          <w:cantSplit/>
        </w:trPr>
        <w:tc>
          <w:tcPr>
            <w:tcW w:type="dxa" w:w="381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Proposed target CPA at 70%</w:t>
            </w:r>
          </w:p>
        </w:tc>
        <w:tc>
          <w:tcPr>
            <w:tcW w:type="dxa" w:w="208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56.77</w:t>
            </w:r>
          </w:p>
        </w:tc>
        <w:tc>
          <w:tcPr>
            <w:tcW w:type="dxa" w:w="208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38.50</w:t>
            </w:r>
          </w:p>
        </w:tc>
        <w:tc>
          <w:tcPr>
            <w:tcW w:type="dxa" w:w="208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113.11</w:t>
            </w:r>
          </w:p>
        </w:tc>
      </w:tr>
    </w:tbl>
    <w:p>
      <w:pPr>
        <w:spacing w:after="0"/>
      </w:pPr>
    </w:p>
    <w:p>
      <w:r>
        <w:rPr>
          <w:b w:val="0"/>
        </w:rPr>
        <w:t>Fee and returns rows are planning allowances, not verified quotes. Product and postage costs exclude recoverable input VAT; if it is not recoverable, include it. Additional handling, app, tax, currency and packaging costs reduce contribution. The 70% CPA rule leaves a 30% buffer before fixed overhead; it is a proposed policy.</w:t>
      </w:r>
    </w:p>
    <w:p>
      <w:r>
        <w:rPr>
          <w:b w:val="0"/>
        </w:rPr>
        <w:t>At 4 SEK per landing visit, the model needs about 7.05% paid conversion for the scented single and 3.54% for the pair to meet those targets. These are requirements, not forecasts. The high direct-shipping cost is the main economic constraint; free shipping on a low-priced single pouch would make it worse.</w:t>
      </w:r>
    </w:p>
    <w:p>
      <w:r/>
    </w:p>
    <w:p>
      <w:pPr>
        <w:pStyle w:val="Heading1"/>
        <w:pageBreakBefore/>
      </w:pPr>
      <w:r>
        <w:t>Who handles delivery and packaging</w:t>
      </w:r>
    </w:p>
    <w:p>
      <w:r>
        <w:rPr>
          <w:b w:val="0"/>
        </w:rPr>
        <w:t>AW Artisan Europe wholesale and AW Dropship are separate purchasing routes. Public service availability does not establish an approved Noorly account, a fulfilment contract or automatic Shopify order routing. No supplier order, commercial agreement or 3PL booking was made during this work.</w:t>
      </w:r>
    </w:p>
    <w:tbl>
      <w:tblPr>
        <w:tblW w:type="auto" w:w="0"/>
        <w:jc w:val="center"/>
        <w:tblLayout w:type="fixed"/>
        <w:tblLook w:firstColumn="1" w:firstRow="1" w:lastColumn="0" w:lastRow="0" w:noHBand="0" w:noVBand="1" w:val="04A0"/>
      </w:tblPr>
      <w:tblGrid>
        <w:gridCol w:w="2952"/>
        <w:gridCol w:w="3528"/>
        <w:gridCol w:w="3600"/>
      </w:tblGrid>
      <w:tr>
        <w:trPr>
          <w:tblHeader/>
          <w:cantSplit/>
        </w:trPr>
        <w:tc>
          <w:tcPr>
            <w:tcW w:type="dxa" w:w="2952"/>
            <w:vAlign w:val="center"/>
            <w:shd w:fill="33415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Responsibility</w:t>
            </w:r>
          </w:p>
        </w:tc>
        <w:tc>
          <w:tcPr>
            <w:tcW w:type="dxa" w:w="3528"/>
            <w:vAlign w:val="center"/>
            <w:shd w:fill="33415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AW direct dropship</w:t>
            </w:r>
          </w:p>
        </w:tc>
        <w:tc>
          <w:tcPr>
            <w:tcW w:type="dxa" w:w="3600"/>
            <w:vAlign w:val="center"/>
            <w:shd w:fill="33415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Current Noorly status</w:t>
            </w:r>
          </w:p>
        </w:tc>
      </w:tr>
      <w:tr>
        <w:trPr>
          <w:cantSplit/>
        </w:trPr>
        <w:tc>
          <w:tcPr>
            <w:tcW w:type="dxa" w:w="295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Delivery to Swedish customers</w:t>
            </w:r>
          </w:p>
        </w:tc>
        <w:tc>
          <w:tcPr>
            <w:tcW w:type="dxa" w:w="352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Supported in public shipping terms</w:t>
            </w:r>
          </w:p>
        </w:tc>
        <w:tc>
          <w:tcPr>
            <w:tcW w:type="dxa" w:w="360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Account quote and ordering workflow unverified</w:t>
            </w:r>
          </w:p>
        </w:tc>
      </w:tr>
      <w:tr>
        <w:trPr>
          <w:cantSplit/>
        </w:trPr>
        <w:tc>
          <w:tcPr>
            <w:tcW w:type="dxa" w:w="2952"/>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Protective outer packaging</w:t>
            </w:r>
          </w:p>
        </w:tc>
        <w:tc>
          <w:tcPr>
            <w:tcW w:type="dxa" w:w="3528"/>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Plain new or reused packaging</w:t>
            </w:r>
          </w:p>
        </w:tc>
        <w:tc>
          <w:tcPr>
            <w:tcW w:type="dxa" w:w="3600"/>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Service described publicly; sample untested</w:t>
            </w:r>
          </w:p>
        </w:tc>
      </w:tr>
      <w:tr>
        <w:trPr>
          <w:cantSplit/>
        </w:trPr>
        <w:tc>
          <w:tcPr>
            <w:tcW w:type="dxa" w:w="295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Gift wrapping</w:t>
            </w:r>
          </w:p>
        </w:tc>
        <w:tc>
          <w:tcPr>
            <w:tcW w:type="dxa" w:w="352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Not offered</w:t>
            </w:r>
          </w:p>
        </w:tc>
        <w:tc>
          <w:tcPr>
            <w:tcW w:type="dxa" w:w="360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Do not promise it</w:t>
            </w:r>
          </w:p>
        </w:tc>
      </w:tr>
      <w:tr>
        <w:trPr>
          <w:cantSplit/>
        </w:trPr>
        <w:tc>
          <w:tcPr>
            <w:tcW w:type="dxa" w:w="2952"/>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Noorly branded gift box and card</w:t>
            </w:r>
          </w:p>
        </w:tc>
        <w:tc>
          <w:tcPr>
            <w:tcW w:type="dxa" w:w="3528"/>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Not confirmed</w:t>
            </w:r>
          </w:p>
        </w:tc>
        <w:tc>
          <w:tcPr>
            <w:tcW w:type="dxa" w:w="3600"/>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Not included in launch draft</w:t>
            </w:r>
          </w:p>
        </w:tc>
      </w:tr>
      <w:tr>
        <w:trPr>
          <w:cantSplit/>
        </w:trPr>
        <w:tc>
          <w:tcPr>
            <w:tcW w:type="dxa" w:w="295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Stock and restock date</w:t>
            </w:r>
          </w:p>
        </w:tc>
        <w:tc>
          <w:tcPr>
            <w:tcW w:type="dxa" w:w="352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Public candle-sand feed shows 0</w:t>
            </w:r>
          </w:p>
        </w:tc>
        <w:tc>
          <w:tcPr>
            <w:tcW w:type="dxa" w:w="360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Written availability and date needed</w:t>
            </w:r>
          </w:p>
        </w:tc>
      </w:tr>
      <w:tr>
        <w:trPr>
          <w:cantSplit/>
        </w:trPr>
        <w:tc>
          <w:tcPr>
            <w:tcW w:type="dxa" w:w="2952"/>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Shopify order sync and tracking</w:t>
            </w:r>
          </w:p>
        </w:tc>
        <w:tc>
          <w:tcPr>
            <w:tcW w:type="dxa" w:w="3528"/>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Not verified</w:t>
            </w:r>
          </w:p>
        </w:tc>
        <w:tc>
          <w:tcPr>
            <w:tcW w:type="dxa" w:w="3600"/>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Must test before promising automation</w:t>
            </w:r>
          </w:p>
        </w:tc>
      </w:tr>
      <w:tr>
        <w:trPr>
          <w:cantSplit/>
        </w:trPr>
        <w:tc>
          <w:tcPr>
            <w:tcW w:type="dxa" w:w="295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Customer service and refunds</w:t>
            </w:r>
          </w:p>
        </w:tc>
        <w:tc>
          <w:tcPr>
            <w:tcW w:type="dxa" w:w="352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Supplier has B2B terms</w:t>
            </w:r>
          </w:p>
        </w:tc>
        <w:tc>
          <w:tcPr>
            <w:tcW w:type="dxa" w:w="360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Noorly remains the customer-facing seller</w:t>
            </w:r>
          </w:p>
        </w:tc>
      </w:tr>
    </w:tbl>
    <w:p>
      <w:pPr>
        <w:spacing w:after="0"/>
      </w:pPr>
    </w:p>
    <w:p>
      <w:r>
        <w:rPr>
          <w:b w:val="0"/>
        </w:rPr>
        <w:t>The Swedish shipping table quotes approximately five working days in transit, with carrier depending on weight. This is not a presale delivery promise: add supplier availability, order processing and dispatch time. The supplier also warns of festive delays. At 2 kg, verify the applicable band with the packed parcel. [S4, S6]</w:t>
      </w:r>
    </w:p>
    <w:p>
      <w:pPr>
        <w:pStyle w:val="Heading2"/>
      </w:pPr>
      <w:r>
        <w:t>Recommended packaging approach for the first test</w:t>
      </w:r>
    </w:p>
    <w:p>
      <w:r>
        <w:rPr>
          <w:b w:val="0"/>
        </w:rPr>
        <w:t>For the candle-sand validation, use plain protective dropship packaging only after a sample and a written quote are checked. Describe the offer as candle sand suitable for gifting, without promising gift-ready wrapping. This avoids committing the test to an unpriced custom packaging process.</w:t>
      </w:r>
    </w:p>
    <w:p>
      <w:r>
        <w:rPr>
          <w:b w:val="0"/>
        </w:rPr>
        <w:t>If gift-ready Noorly packaging is essential, use a separate workflow: receive a small batch, add the selected box and card, then ship locally; or obtain a written kitting and fulfilment quote. FLEX Fulfillment is only a candidate from the earlier strategy, not a confirmed provider. Packhelp supplies packaging but a box purchase does not establish packing or delivery service. Obtain the full per-order cost before changing prices or taking orders.</w:t>
      </w:r>
    </w:p>
    <w:p>
      <w:pPr>
        <w:pStyle w:val="Heading2"/>
      </w:pPr>
      <w:r>
        <w:t>Supplier questions ready to send</w:t>
      </w:r>
    </w:p>
    <w:p>
      <w:r>
        <w:rPr>
          <w:b w:val="0"/>
        </w:rPr>
        <w:t>Draft only — no message has been sent: “Please confirm availability and restock dates for CSand-01 to CSand-11, retail pack contents, current unit prices, and the total charge to deliver one or two pouches to Sweden. Please include VAT treatment, packing and handling fees, dispatch time, parcel tracking, stock reservation for presales, cancellation rules, damaged-item handling and return routing. Confirm whether two selected variants share one parcel and whether branded boxes or greeting cards can be inserted. Your FAQ says gift wrapping is unavailable; please confirm.”</w:t>
      </w:r>
    </w:p>
    <w:p>
      <w:r/>
    </w:p>
    <w:p>
      <w:pPr>
        <w:pStyle w:val="Heading1"/>
        <w:pageBreakBefore/>
      </w:pPr>
      <w:r>
        <w:t>Presale website implementation</w:t>
      </w:r>
    </w:p>
    <w:p>
      <w:r>
        <w:rPr>
          <w:b w:val="0"/>
        </w:rPr>
        <w:t>Keep the listings in draft until a supportable shipping window and final price exist. The current task authorizes product and pricing edits, but not invented stock, delivery dates or included services. Shopify’s documented preorder purchase option requires a preorder app; simply changing the button or allowing overselling does not reproduce its checkout disclosures. [S7, S8]</w:t>
      </w:r>
    </w:p>
    <w:p>
      <w:pPr>
        <w:pStyle w:val="Heading2"/>
      </w:pPr>
      <w:r>
        <w:t>Product page and cart requirements</w:t>
      </w:r>
    </w:p>
    <w:p>
      <w:pPr>
        <w:keepLines/>
      </w:pPr>
      <w:r>
        <w:rPr>
          <w:b/>
        </w:rPr>
        <w:t xml:space="preserve">First visible screen. </w:t>
      </w:r>
      <w:r>
        <w:t>Show the presale label, exact weight, selected scent and colour, VAT-inclusive price, delivery charge and expected dispatch window next to the buying action. Keep the same facts in cart, checkout and the order confirmation.</w:t>
      </w:r>
    </w:p>
    <w:p>
      <w:pPr>
        <w:keepLines/>
      </w:pPr>
      <w:r>
        <w:rPr>
          <w:b/>
        </w:rPr>
        <w:t xml:space="preserve">Contents and choice. </w:t>
      </w:r>
      <w:r>
        <w:t>List the pouch and verified wick count; identify anything pictured that is not included. Use labelled variant controls and a clear selected state. Avoid unavailable variants silently falling back to another scent.</w:t>
      </w:r>
    </w:p>
    <w:p>
      <w:pPr>
        <w:keepLines/>
      </w:pPr>
      <w:r>
        <w:rPr>
          <w:b/>
        </w:rPr>
        <w:t xml:space="preserve">Payment and fulfilment. </w:t>
      </w:r>
      <w:r>
        <w:t>State whether payment is collected now, partially now or later. Tie the order to a verified supply window, not the date the domain is bought. Cap orders to a confirmed allocation and give a clear cancellation and refund path.</w:t>
      </w:r>
    </w:p>
    <w:p>
      <w:pPr>
        <w:keepLines/>
      </w:pPr>
      <w:r>
        <w:rPr>
          <w:b/>
        </w:rPr>
        <w:t xml:space="preserve">Checkout. </w:t>
      </w:r>
      <w:r>
        <w:t>Verify the preorder app and custom storefront work together, including any required selling-plan data. Shopify currently restricts preorder payments to Shopify Payments or PayPal Express; its listed limitations exclude Klarna and accelerated methods including Apple Pay, Google Pay and Shop Pay. Check the live configuration before advertising those methods. [S7, S8]</w:t>
      </w:r>
    </w:p>
    <w:p>
      <w:pPr>
        <w:pStyle w:val="Heading2"/>
      </w:pPr>
      <w:r>
        <w:t>Swedish copy prepared for a confirmed shipping window</w:t>
      </w:r>
    </w:p>
    <w:p>
      <w:r>
        <w:rPr>
          <w:b w:val="0"/>
        </w:rPr>
        <w:t>Product title: “Ljussand 300 g – förbeställning”</w:t>
      </w:r>
    </w:p>
    <w:p>
      <w:r>
        <w:rPr>
          <w:b w:val="0"/>
        </w:rPr>
        <w:t>Draft description: “Ljussand för dig som vill skapa en egen ljusstund hemma. Välj doft och färg. Använd produkten enligt leverantörens anvisningar i ett lämpligt värmetåligt kärl. Kärl ingår inte.”</w:t>
      </w:r>
    </w:p>
    <w:p>
      <w:r>
        <w:rPr>
          <w:b w:val="0"/>
        </w:rPr>
        <w:t>Presale notice template: “Detta är en förbeställning. Beräknad avsändning: [bekräftat datumintervall]. [Belopp] betalas vid beställning. Frakt: [belopp]. Om tidsplanen ändras kontaktar vi dig med ny information och hur du kan avbeställa eller få återbetalning.”</w:t>
      </w:r>
    </w:p>
    <w:p>
      <w:r>
        <w:rPr>
          <w:b w:val="0"/>
        </w:rPr>
        <w:t>Button: “Förbeställ”. If payment is unavailable, use “Anmäl intresse” with an explicit unpaid explanation and track a lead instead. The brackets above are draft placeholders and must never be published unchanged.</w:t>
      </w:r>
    </w:p>
    <w:p>
      <w:pPr>
        <w:pStyle w:val="Heading2"/>
      </w:pPr>
      <w:r>
        <w:t>Customer information that must work</w:t>
      </w:r>
    </w:p>
    <w:p>
      <w:r>
        <w:rPr>
          <w:b w:val="0"/>
        </w:rPr>
        <w:t>Publish the real seller identity, contact information, full price and payment terms, delivery conditions, complaints process and withdrawal information. Swedish official guidance now describes a required online withdrawal function from 19 June 2026, including an acknowledgement the customer can save. Verify and implement that flow for the launch. A presale label does not remove consumer rights. [S9]</w:t>
      </w:r>
    </w:p>
    <w:p>
      <w:r/>
    </w:p>
    <w:p>
      <w:pPr>
        <w:pStyle w:val="Heading1"/>
        <w:pageBreakBefore/>
      </w:pPr>
      <w:r>
        <w:t>Friday setup and tracking ownership</w:t>
      </w:r>
    </w:p>
    <w:p>
      <w:r>
        <w:rPr>
          <w:b w:val="0"/>
        </w:rPr>
        <w:t>Friday means 23 October 2026. The user intends to buy the domain then. No domain purchase, payment activation or future automation has been performed or scheduled here. Launch only after the checks below pass; move the test dates if a dependency remains unresolved.</w:t>
      </w:r>
    </w:p>
    <w:tbl>
      <w:tblPr>
        <w:tblW w:type="auto" w:w="0"/>
        <w:jc w:val="center"/>
        <w:tblLayout w:type="fixed"/>
        <w:tblLook w:firstColumn="1" w:firstRow="1" w:lastColumn="0" w:lastRow="0" w:noHBand="0" w:noVBand="1" w:val="04A0"/>
      </w:tblPr>
      <w:tblGrid>
        <w:gridCol w:w="2232"/>
        <w:gridCol w:w="3240"/>
        <w:gridCol w:w="4608"/>
      </w:tblGrid>
      <w:tr>
        <w:trPr>
          <w:tblHeader/>
          <w:cantSplit/>
        </w:trPr>
        <w:tc>
          <w:tcPr>
            <w:tcW w:type="dxa" w:w="2232"/>
            <w:vAlign w:val="center"/>
            <w:shd w:fill="33415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Step</w:t>
            </w:r>
          </w:p>
        </w:tc>
        <w:tc>
          <w:tcPr>
            <w:tcW w:type="dxa" w:w="3240"/>
            <w:vAlign w:val="center"/>
            <w:shd w:fill="33415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Owner or dependency</w:t>
            </w:r>
          </w:p>
        </w:tc>
        <w:tc>
          <w:tcPr>
            <w:tcW w:type="dxa" w:w="4608"/>
            <w:vAlign w:val="center"/>
            <w:shd w:fill="33415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Evidence required</w:t>
            </w:r>
          </w:p>
        </w:tc>
      </w:tr>
      <w:tr>
        <w:trPr>
          <w:cantSplit/>
        </w:trPr>
        <w:tc>
          <w:tcPr>
            <w:tcW w:type="dxa" w:w="223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Supply and final economics</w:t>
            </w:r>
          </w:p>
        </w:tc>
        <w:tc>
          <w:tcPr>
            <w:tcW w:type="dxa" w:w="324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Noorly and supplier</w:t>
            </w:r>
          </w:p>
        </w:tc>
        <w:tc>
          <w:tcPr>
            <w:tcW w:type="dxa" w:w="460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Quote, available allocation, restock and dispatch dates, sample and costs</w:t>
            </w:r>
          </w:p>
        </w:tc>
      </w:tr>
      <w:tr>
        <w:trPr>
          <w:cantSplit/>
        </w:trPr>
        <w:tc>
          <w:tcPr>
            <w:tcW w:type="dxa" w:w="2232"/>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Product publication</w:t>
            </w:r>
          </w:p>
        </w:tc>
        <w:tc>
          <w:tcPr>
            <w:tcW w:type="dxa" w:w="3240"/>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Shopify access and storefront</w:t>
            </w:r>
          </w:p>
        </w:tc>
        <w:tc>
          <w:tcPr>
            <w:tcW w:type="dxa" w:w="4608"/>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Real SKUs, prices, presale disclosures, images and no mock items in buying flow</w:t>
            </w:r>
          </w:p>
        </w:tc>
      </w:tr>
      <w:tr>
        <w:trPr>
          <w:cantSplit/>
        </w:trPr>
        <w:tc>
          <w:tcPr>
            <w:tcW w:type="dxa" w:w="223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Domain and SSL</w:t>
            </w:r>
          </w:p>
        </w:tc>
        <w:tc>
          <w:tcPr>
            <w:tcW w:type="dxa" w:w="324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User purchase then site setup</w:t>
            </w:r>
          </w:p>
        </w:tc>
        <w:tc>
          <w:tcPr>
            <w:tcW w:type="dxa" w:w="460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Correct domain and redirects resolve securely on mobile</w:t>
            </w:r>
          </w:p>
        </w:tc>
      </w:tr>
      <w:tr>
        <w:trPr>
          <w:cantSplit/>
        </w:trPr>
        <w:tc>
          <w:tcPr>
            <w:tcW w:type="dxa" w:w="2232"/>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Payments and cancellation</w:t>
            </w:r>
          </w:p>
        </w:tc>
        <w:tc>
          <w:tcPr>
            <w:tcW w:type="dxa" w:w="3240"/>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Merchant account and preorder setup</w:t>
            </w:r>
          </w:p>
        </w:tc>
        <w:tc>
          <w:tcPr>
            <w:tcW w:type="dxa" w:w="4608"/>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Successful test payment, confirmation, cancellation and refund</w:t>
            </w:r>
          </w:p>
        </w:tc>
      </w:tr>
      <w:tr>
        <w:trPr>
          <w:cantSplit/>
        </w:trPr>
        <w:tc>
          <w:tcPr>
            <w:tcW w:type="dxa" w:w="223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Pixel and server events</w:t>
            </w:r>
          </w:p>
        </w:tc>
        <w:tc>
          <w:tcPr>
            <w:tcW w:type="dxa" w:w="324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Storefront and Shopify integration</w:t>
            </w:r>
          </w:p>
        </w:tc>
        <w:tc>
          <w:tcPr>
            <w:tcW w:type="dxa" w:w="460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Consent behaviour and one deduplicated test purchase</w:t>
            </w:r>
          </w:p>
        </w:tc>
      </w:tr>
      <w:tr>
        <w:trPr>
          <w:cantSplit/>
        </w:trPr>
        <w:tc>
          <w:tcPr>
            <w:tcW w:type="dxa" w:w="2232"/>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Advertising release</w:t>
            </w:r>
          </w:p>
        </w:tc>
        <w:tc>
          <w:tcPr>
            <w:tcW w:type="dxa" w:w="3240"/>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Remaining allowance reconciled</w:t>
            </w:r>
          </w:p>
        </w:tc>
        <w:tc>
          <w:tcPr>
            <w:tcW w:type="dxa" w:w="4608"/>
            <w:vAlign w:val="center"/>
            <w:shd w:fill="F1F3F5"/>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First 2,000 SEK bounded, no other spend consuming the allocation</w:t>
            </w:r>
          </w:p>
        </w:tc>
      </w:tr>
    </w:tbl>
    <w:p>
      <w:pPr>
        <w:spacing w:after="0"/>
      </w:pPr>
    </w:p>
    <w:p>
      <w:pPr>
        <w:pStyle w:val="Heading2"/>
      </w:pPr>
      <w:r>
        <w:t>Windsor and Meta Pixel do different jobs</w:t>
      </w:r>
    </w:p>
    <w:p>
      <w:r>
        <w:rPr>
          <w:b w:val="0"/>
        </w:rPr>
        <w:t>The prior connected-account check listed one source in Windsor: Noorly’s Meta ad account, ending 9342. Shopify and GA4 were not returned in that connector list. Use Windsor to consolidate reporting if useful; that connection alone does not install a browser pixel or establish working checkout event collection. [S10 and connected account read]</w:t>
      </w:r>
    </w:p>
    <w:p>
      <w:r>
        <w:rPr>
          <w:b w:val="0"/>
        </w:rPr>
        <w:t>The selected Meta dataset is 511816900240916. Earlier account reads returned no events in the queried recent period and an old browser-event timestamp. Reconfirm dataset ownership and use new test activity to verify it. Do not create a second dataset merely because the first is quiet.</w:t>
      </w:r>
    </w:p>
    <w:p>
      <w:r>
        <w:rPr>
          <w:b w:val="0"/>
        </w:rPr>
        <w:t>For a Shopify hosted storefront, inspect the supported Meta integration. For Noorly’s custom Next.js storefront, verify browser consent, required script destinations, cart events, checkout attribution and paid-order server events across the complete path. The repository currently has GA4 and PostHog paths but no implemented Meta adapter. Installing an app in Shopify alone does not prove the custom frontend sends events.</w:t>
      </w:r>
    </w:p>
    <w:p>
      <w:r>
        <w:rPr>
          <w:b w:val="0"/>
        </w:rPr>
        <w:t>Check ViewContent, AddToCart, InitiateCheckout and Purchase with the correct value and SEK currency. Use the same event name and event ID for browser/server deduplication, and a stable order-based ID on retries. Do not fire Purchase for a lead or an unpaid order. Test rejected consent, accepted consent, payment failure and a real test-order success. Confirm privacy and marketing-consent handling before using customer data. [S11]</w:t>
      </w:r>
    </w:p>
    <w:p>
      <w:r/>
    </w:p>
    <w:p>
      <w:pPr>
        <w:pStyle w:val="Heading1"/>
        <w:pageBreakBefore/>
      </w:pPr>
      <w:r>
        <w:t>Carry this context into the next chat</w:t>
      </w:r>
    </w:p>
    <w:p>
      <w:pPr>
        <w:pStyle w:val="Heading2"/>
      </w:pPr>
      <w:r>
        <w:t>Continuation text</w:t>
      </w:r>
    </w:p>
    <w:p>
      <w:r>
        <w:rPr>
          <w:b w:val="0"/>
        </w:rPr>
        <w:t>“Use Noorly Objectives and Presale Handover version 1.1 dated 21 October 2026 as the current operating agreement. We have 4,000 SEK total ad allocation, not 4,000 per product. First candle-sand offer: up to 2,000 SEK over an initial four to five day screen. Remaining 2,000 SEK continues it or tests a distinct backup. Scents are variants. Products should be presale, with verified supply and a clear delivery window. Proposed prices are drafts, not confirmed live settings. AW offers Swedish dropshipping and plain protective packaging, but no gift wrapping; the public candle-sand feed reports zero stock. Shopify editing is blocked because the user’s admin tab is not exposed to the available browser controls. Windsor already lists our Meta ad account but does not by itself verify Pixel installation. Finish access, supplier costs and dates, actual listings, payment, domain and event verification before spending.”</w:t>
      </w:r>
    </w:p>
    <w:p>
      <w:pPr>
        <w:pStyle w:val="Heading2"/>
      </w:pPr>
      <w:r>
        <w:t>Update this record when work changes</w:t>
      </w:r>
    </w:p>
    <w:p>
      <w:r>
        <w:rPr>
          <w:b w:val="0"/>
        </w:rPr>
        <w:t>Record the date, exact product and variant IDs, saved prices, delivery terms, fulfilment route, confirmed costs, stock allocation and supplier evidence. Keep a spend ledger with actual total and remaining allowance. Mark a task complete only after checking its saved result. A new chat must recheck changing facts; this document provides continuity, not permanent live account state.</w:t>
      </w:r>
    </w:p>
    <w:p>
      <w:pPr>
        <w:pStyle w:val="Heading2"/>
      </w:pPr>
      <w:r>
        <w:t>Source register</w:t>
      </w:r>
    </w:p>
    <w:p>
      <w:pPr>
        <w:spacing w:after="100"/>
      </w:pPr>
      <w:r>
        <w:rPr>
          <w:b/>
          <w:sz w:val="20"/>
        </w:rPr>
        <w:t xml:space="preserve">S1  </w:t>
      </w:r>
      <w:hyperlink r:id="rId11">
        <w:r>
          <w:rPr>
            <w:color w:val="245A74"/>
          </w:rPr>
          <w:t>Meta best practices for A B testing</w:t>
        </w:r>
      </w:hyperlink>
    </w:p>
    <w:p>
      <w:pPr>
        <w:spacing w:after="100"/>
      </w:pPr>
      <w:r>
        <w:rPr>
          <w:b/>
          <w:sz w:val="20"/>
        </w:rPr>
        <w:t xml:space="preserve">S2  </w:t>
      </w:r>
      <w:hyperlink r:id="rId12">
        <w:r>
          <w:rPr>
            <w:color w:val="245A74"/>
          </w:rPr>
          <w:t>AW Dropship candle sand family feed</w:t>
        </w:r>
      </w:hyperlink>
    </w:p>
    <w:p>
      <w:pPr>
        <w:spacing w:after="100"/>
      </w:pPr>
      <w:r>
        <w:rPr>
          <w:b/>
          <w:sz w:val="20"/>
        </w:rPr>
        <w:t xml:space="preserve">S3  </w:t>
      </w:r>
      <w:hyperlink r:id="rId13">
        <w:r>
          <w:rPr>
            <w:color w:val="245A74"/>
          </w:rPr>
          <w:t>AW Artisan CSand 01 product details</w:t>
        </w:r>
      </w:hyperlink>
    </w:p>
    <w:p>
      <w:pPr>
        <w:spacing w:after="100"/>
      </w:pPr>
      <w:r>
        <w:rPr>
          <w:b/>
          <w:sz w:val="20"/>
        </w:rPr>
        <w:t xml:space="preserve">S4  </w:t>
      </w:r>
      <w:hyperlink r:id="rId14">
        <w:r>
          <w:rPr>
            <w:color w:val="245A74"/>
          </w:rPr>
          <w:t>AW Dropship Sweden delivery table</w:t>
        </w:r>
      </w:hyperlink>
    </w:p>
    <w:p>
      <w:pPr>
        <w:spacing w:after="100"/>
      </w:pPr>
      <w:r>
        <w:rPr>
          <w:b/>
          <w:sz w:val="20"/>
        </w:rPr>
        <w:t xml:space="preserve">S5  </w:t>
      </w:r>
      <w:hyperlink r:id="rId15">
        <w:r>
          <w:rPr>
            <w:color w:val="245A74"/>
          </w:rPr>
          <w:t>ECB euro reference rates 20 October 2026</w:t>
        </w:r>
      </w:hyperlink>
    </w:p>
    <w:p>
      <w:pPr>
        <w:spacing w:after="100"/>
      </w:pPr>
      <w:r>
        <w:rPr>
          <w:b/>
          <w:sz w:val="20"/>
        </w:rPr>
        <w:t xml:space="preserve">S6  </w:t>
      </w:r>
      <w:hyperlink r:id="rId16">
        <w:r>
          <w:rPr>
            <w:color w:val="245A74"/>
          </w:rPr>
          <w:t>AW Dropship account packaging and order FAQ</w:t>
        </w:r>
      </w:hyperlink>
    </w:p>
    <w:p>
      <w:pPr>
        <w:spacing w:after="100"/>
      </w:pPr>
      <w:r>
        <w:rPr>
          <w:b/>
          <w:sz w:val="20"/>
        </w:rPr>
        <w:t xml:space="preserve">S7  </w:t>
      </w:r>
      <w:hyperlink r:id="rId17">
        <w:r>
          <w:rPr>
            <w:color w:val="245A74"/>
          </w:rPr>
          <w:t>Shopify preorder overview</w:t>
        </w:r>
      </w:hyperlink>
    </w:p>
    <w:p>
      <w:pPr>
        <w:spacing w:after="100"/>
      </w:pPr>
      <w:r>
        <w:rPr>
          <w:b/>
          <w:sz w:val="20"/>
        </w:rPr>
        <w:t xml:space="preserve">S8  </w:t>
      </w:r>
      <w:hyperlink r:id="rId18">
        <w:r>
          <w:rPr>
            <w:color w:val="245A74"/>
          </w:rPr>
          <w:t>Shopify preorder setup and restrictions</w:t>
        </w:r>
      </w:hyperlink>
    </w:p>
    <w:p>
      <w:pPr>
        <w:spacing w:after="100"/>
      </w:pPr>
      <w:r>
        <w:rPr>
          <w:b/>
          <w:sz w:val="20"/>
        </w:rPr>
        <w:t xml:space="preserve">S9  </w:t>
      </w:r>
      <w:hyperlink r:id="rId19">
        <w:r>
          <w:rPr>
            <w:color w:val="245A74"/>
          </w:rPr>
          <w:t>Konsumentverket distance selling information and withdrawal function</w:t>
        </w:r>
      </w:hyperlink>
    </w:p>
    <w:p>
      <w:pPr>
        <w:spacing w:after="100"/>
      </w:pPr>
      <w:r>
        <w:rPr>
          <w:b/>
          <w:sz w:val="20"/>
        </w:rPr>
        <w:t xml:space="preserve">S10  </w:t>
      </w:r>
      <w:hyperlink r:id="rId20">
        <w:r>
          <w:rPr>
            <w:color w:val="245A74"/>
          </w:rPr>
          <w:t>Windsor reporting and Meta integration scope</w:t>
        </w:r>
      </w:hyperlink>
    </w:p>
    <w:p>
      <w:pPr>
        <w:spacing w:after="100"/>
      </w:pPr>
      <w:r>
        <w:rPr>
          <w:b/>
          <w:sz w:val="20"/>
        </w:rPr>
        <w:t xml:space="preserve">S11  </w:t>
      </w:r>
      <w:hyperlink r:id="rId21">
        <w:r>
          <w:rPr>
            <w:color w:val="245A74"/>
          </w:rPr>
          <w:t>Meta browser and server event deduplication</w:t>
        </w:r>
      </w:hyperlink>
    </w:p>
    <w:p>
      <w:r>
        <w:rPr>
          <w:b w:val="0"/>
        </w:rPr>
        <w:t>Sources checked 20–21 October 2026. Repository inspected: 1Alsaad/noorly-gifting, main commit 0d130a4dcfdae84d277820b067baf587ba73b9c5. Prior attachments: Noorly AI Agent Handover and Swedish Seasonal Gift Brand Validation Marketing Supplier Fulfillment Strategy. User decisions in the current conversation take precedence over their older budgets and schedules.</w:t>
      </w:r>
    </w:p>
    <w:sectPr w:rsidR="00FC693F" w:rsidRPr="0006063C" w:rsidSect="00034616">
      <w:headerReference w:type="default" r:id="rId9"/>
      <w:footerReference w:type="default" r:id="rId10"/>
      <w:pgSz w:w="12240" w:h="15840"/>
      <w:pgMar w:top="979" w:right="1080" w:bottom="936" w:left="108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1.1   |   21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NOORLY   /   OBJECTIVES AND LAUNCH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acebook.com/business/help/290009911394576" TargetMode="External"/><Relationship Id="rId12" Type="http://schemas.openxmlformats.org/officeDocument/2006/relationships/hyperlink" Target="https://www.aw-dropship.eu/catalogue/family/csand-dssk" TargetMode="External"/><Relationship Id="rId13" Type="http://schemas.openxmlformats.org/officeDocument/2006/relationships/hyperlink" Target="https://www.awartisan.eu/candles/csand/csand-01" TargetMode="External"/><Relationship Id="rId14" Type="http://schemas.openxmlformats.org/officeDocument/2006/relationships/hyperlink" Target="https://www.aw-dropship.eu/shipping" TargetMode="External"/><Relationship Id="rId15" Type="http://schemas.openxmlformats.org/officeDocument/2006/relationships/hyperlink" Target="https://www.ecb.europa.eu/stats/policy_and_exchange_rates/euro_reference_exchange_rates/html/index.en.html" TargetMode="External"/><Relationship Id="rId16" Type="http://schemas.openxmlformats.org/officeDocument/2006/relationships/hyperlink" Target="https://www.aw-dropship.eu/faq/" TargetMode="External"/><Relationship Id="rId17" Type="http://schemas.openxmlformats.org/officeDocument/2006/relationships/hyperlink" Target="https://help.shopify.com/en/manual/products/purchase-options/pre-orders" TargetMode="External"/><Relationship Id="rId18" Type="http://schemas.openxmlformats.org/officeDocument/2006/relationships/hyperlink" Target="https://help.shopify.com/en/manual/products/purchase-options/pre-orders/setup" TargetMode="External"/><Relationship Id="rId19" Type="http://schemas.openxmlformats.org/officeDocument/2006/relationships/hyperlink" Target="https://www.konsumentverket.se/marknadsratt-foretag/informationskrav-vid-distansavtal-regler-for-foretag/" TargetMode="External"/><Relationship Id="rId20" Type="http://schemas.openxmlformats.org/officeDocument/2006/relationships/hyperlink" Target="https://windsor.ai/windsor-ai-vs-meta-ads-mcp/" TargetMode="External"/><Relationship Id="rId21" Type="http://schemas.openxmlformats.org/officeDocument/2006/relationships/hyperlink" Target="https://developers.facebook.com/docs/marketing-api/conversions-api/deduplicate-pixel-and-server-ev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Noorly Objectives Product Tests and Presale Handover</dc:title>
  <dc:subject>Current decisions, proposed prices, fulfilment evidence and launch dependencies</dc:subject>
  <dc:creator>Noorly</dc:creator>
  <cp:keywords/>
  <dc:description>generated by python-docx</dc:description>
  <cp:lastModifiedBy/>
  <cp:revision>1</cp:revision>
  <dcterms:created xsi:type="dcterms:W3CDTF">2013-12-23T23:15:00Z</dcterms:created>
  <dcterms:modified xsi:type="dcterms:W3CDTF">2013-12-23T23:15:00Z</dcterms:modified>
  <cp:category/>
</cp:coreProperties>
</file>