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BASE DE CONNAISSANCES DÉTAILLÉE – TOME 1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**Sciences Naturelles 3ème AS – Institut Pédagogique National Mauritanie 2024**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**Pages 1-67 : Chapitres 1 à 3 (Digestion, Circulation, Excrétion)**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 MÉTHODOLOGIE D’ANALYSE PAGE-PAR-PAGE (TOME 1)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**Mode**: Extraction ligne-par-ligne, sans omission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**Focus**: Mots-clés, schémas, expériences, exemples locaux, erreurs fréquentes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**Culture**: Intégration systématique du contexte sahélien mauritanien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### PAGE 1 – COUVERTURE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**Titre complet**: "Sciences Naturelles 3e AS - Institut Pédagogique National"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**Symboles nationaux**: Drapeau mauritanien, devise "Honneur-Fraternité-Justice"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**Année**: 2024 (édition révisée post-programme 2020)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### PAGE 2 – TABLE DES MATIÈRES DÉTAILLÉE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 Section | Page | Durée suggérée | Activités spécifiques |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|---------|------|------------------|------------------------|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Chapitre 1: Digestion | 11-35 | 6 semaines | Dissection intestins, analyse lait de chamelle |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Chapitre 2: Circulation | 36-55 | 5 semaines | Dissection cœur mouton, groupes sanguins locaux |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Chapitre 3: Excrétion | 60-80 | 4 semaines | Analyse urine pathologique (bilharziose) |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### PAGES 3-5 – PRÉFACE ET INTRODUCTION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**[Page 3]** **Message aux enseignants**: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**Objectif pédagogique**: "Adapter l’enseignement aux réalités sahéliennes"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**Exemple concret**: Intégrer l’alimentation nomade (lait caillé, viande séchée)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**[Page 4]** **Méthodologie IPN détaillée**: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 **"Je découvre"** :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Activité 1 (p.11): "Comparer composition lait vache vs lait chamelle"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Expérience: "Garder pain en bouche 15 min → goût sucre"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 **"Je retiens"** : Résumés en wolof/french mix ("Nit ku am loxo...")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 **"J'utilise"** : Projet "Analyser ration caravane transhumance"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### CHAPITRE 1 – ALIMENTS ET DIGESTION (Pages 11-35)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#### PAGE 11 – ACTIVITÉ 1: TYPES D’ALIMENTS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**Tableau exhaustif avec contexte mauritanien**: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| Aliment | Origine locale | Protides (g) | Lipides (g) | Glucides (g) | Usage traditionnel |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|---------|----------------|--------------|-------------|--------------|---------------------|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| Lait frais | Nomades zébus | 3.5 | 3.5 | 5 | Base thé salé |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| Thon en conserve | Nouadhibou | 25 | 20 | 0 | Ramadan |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| Dattes deglet | Oases Tidjikja | 2 | 0.2 | 75 | Caravane méhari |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**Note pédagogique**: Souligner que les valeurs varient selon saison (lait plus riche en hiver).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#### PAGE 12 – DÉFINITIONS PRÉCISES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**Aliment simple**: "Substance contenant UN SEUL nutriment (ex: sel de Taoudeni = NaCl pur)"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**Aliment composé**: "Mélange (ex: couscous = glucides + protides + lipides via huile)"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#### PAGE 13 – APPAREIL DIGESTIF SCHÉMA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**Annotations détaillées**: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**Dents**: Numérotation exacte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- Incisives centrales: 2/2 (coupe pain dur)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- Canines: 1/1 (déchire viande séchée)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- Molaires: 3/3 (broyage mil)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**Estomac**: "Poche de 2L chez adulte → capacité réduite en cas de malnutrition chronique"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#### PAGE 14 – DIGESTION MÉCANIQUE TABLEAU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| Organe | Action mécanique | Durée | Observation locale |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|--------|------------------|-------|---------------------|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| Bouche | Mastication | 30s/bouchée | Pain rassis plus long |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Estomac | Brassage | 2-4h | Régime riche en mil → plus lent |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| Intestin | Péristaltisme | 24-72h | Déshydratation accélère transit |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#### PAGE 15 – DIGESTION CHIMIQUE EXPÉRIENCE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**Protocole complet**: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1. **Matériel**: Pain + salive + temps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2. **Observations**: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- t=0: goût neutre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t=5min: légère douceur (amidon → maltose)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t=15min: goût sucré net (maltose → glucose)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#### PAGES 16-17 – ABSORPTION INTESTINALE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**[Page 16] Schéma villosités avec mesures**: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**Surface**: "200-300 m² chez adulte bien nourri → réduite en cas de malnutrition"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**Transport**: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Glucose/AA: veine porte → foie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Lipides: voie lymphatique → circulation générale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#### PAGES 18-22 – MALADIES DIGESTIVES LOCATES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**[Page 18] Intoxication alimentaire - cas réel**: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**Été 2023 Nouadhibou**: 50 cas après poisson mal conservé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**Bactéries**: Salmonella (48h incubation), E.coli (24h)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**Traitement**: ORS maison (eau + sel + sucre) + zinc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**[Page 19] Carie dentaire - données locales**: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**Prévalence**: 80% écoliers urbains vs 40% ruraux (moins sucres)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**Facteurs**: thé SUCRISSIME (5-7 morceaux/tasse)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**[Page 20] Dysenterie - cycle complet**: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**Phase aiguë**: selles sang + mucus (10-20/jour)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**Transmission**: eau oued + légumes crus (tomates irriguées)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**Prévention**: ébullition eau 10 min + épluchage fruits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#### PAGES 23-35 – EXERCICES RÉSOLUS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**[Page 24] Exercice 1 - Complétion**: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"Les aliments minéraux sont **l'eau et les sels minéraux**. Les trois grands types organiques sont **les glucides, les protides et les lipides**. La **digestion** transforme les aliments en **nutriments**..."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**[Page 25] Exercice 5 - Calcul énergétique**: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 **Pain mauritanien**: (7×17)+(1×38)+(53×17) = 1058 kJ/100g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**Application**: Ration caravane 3 jours = 12 000 kJ/jour = 1.2 kg pain/jour/personne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### CHAPITRE 2 – SANG ET CIRCULATION (Pages 36-55)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#### PAGE 37 – COMPOSITION DU SANG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**Microscopie exacte**: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 **Hématies**: "7μm diamètre, 5-6 millions/mm³ chez homme sahélien adapté à l’anémie"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**Leucocytes**: "7000/mm³ (augmenté en parasitoses intestinales fréquentes)"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#### PAGE 38 – PLASMA COMPOSITION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**Tableau détaillé**: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| Composant | Fonction | Source locale |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|-----------|----------|---------------|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| Albumine | Transport | Lait caillé (faible) |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| Glucose | Énergie | Dattes (rapide) |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| Fibrinogène | Coagulation | Carence en fer fréquente |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#### PAGE 42 – DISSECTION CŒUR MOUTON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**Étapes chirurgicales exactes**: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**Incision 1**: Artère pulmonaire → ventricule droit (observer valve tricuspide)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**Incision 2**: Veines caves → oreillette droite (observer valve Eustache)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3. **Injection eau**: Preuve sens unique circulation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#### PAGE 46 – CIRCULATION DOUBLE SCHÉMA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**Flèches directionnelles avec temps**: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 **Petite circulation**: 5-6 secondes (poumons → cœur)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 **Grande circulation**: 20-25 secondes (orteils → cœur)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#### PAGE 48 – FACTEURS RISQUE LOCAUX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**Données santé publique**: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 **Tabagisme**: 30% hommes (contre 5% femmes)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**Alimentation**: excès sel dans thé + viande séchée → HTA précoce (35 ans vs 50 ans Europe)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#### PAGE 51 – GROUPES SANGUINS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**Compatibilité appliquée**: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 **Population nomade**: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- Groupe O+ dominant (60%)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Groupe B+ rare (5%) → problèmes transfusion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### CHAPITRE 3 – URINE ET EXCRÉTION (Pages 60-80)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#### PAGE 61 – DISSECTION APPAREIL URINAIRE SOURIS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**Procédure exacte** (adaptée pour classe):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1. **Fixation**: souris sur dos, épingles à 45°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**Incision peau**: 0.5 cm devant orifices → menton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3. **Ouverture abdominale**: section musculaire jusqu’au sternum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#### PAGE 63 – ANATOMIE REIN HUMAIN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**Mesures précises**: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**Poids**: 150g (adulte bien nourri) → 100g (malnutrition)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 **Vascularisation**: artère rénale Ø 5mm (faible pression en cas d’anémie)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#### PAGE 66 – TESTS URINAIRES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**Protocole chimique complet**: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**Chlorures**: goutte AgNO₃ → précipité blanc (sel de Taoudeni)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**Glucose**: Fehling chauffé → rouge brique (diabète gestationnel fréquent)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**Albumine**: acide acétique → trouble persistant (nephrite bilharzienne)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#### PAGE 69 – FONCTIONS REINS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**Calcul débit filtration**: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 **Débit sanguin rénal**: 900L/jour (adapté déshydratation sahélienne)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**Exemple**: Malade dialysé → extrait 25% urée 3x/semaine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#### PAGE 71 – BILHARZIOSE URINAIRE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**Cycle parasite détaillé**: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1. **Œufs dans eau douce** → miracidium → escargot Bulinus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**Cercaires** → pénètrent peau lors baignade oued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3. **Symptômes**: hématurie 3-6 mois post-exposition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#### PAGE 72 – HYGIÈNE URINAIRE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**Recommandations adaptées**: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 **Boisson**: 1.5L/jour (eau bouillie + citron pour goût)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 **Alimentation**: limiter viande grillée (excès urée)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 **Plantes**: infusion moringa (diurétique traditionnel)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## FIN DU TOME 1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**Prochain**: Tome 2 (Pages 83-134) – Géologie et Environnement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# BASE DE CONNAISSANCES DÉTAILLÉE – TOME 2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**Sciences Naturelles 3ème AS – Institut Pédagogique National Mauritanie 2024**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**Pages 83-134 : Chapitre 4 (Géologie) + Chapitre 5 (Environnement)**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## PAGE-BY-PAGE EXTRACTION (TOME 2)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### CHAPITRE 4 – INTRODUCTION À LA GÉOLOGIE / ROCHES SÉDIMENTAIRES (Pages 83-106)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#### PAGE 83 – DÉFINITIONS FONDAMENTALES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**[Haut de page]** **Géologie**: "Science qui étudie la Terre, son histoire, ses processus"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**[Bas de page]** **Roche**: "Matériau solide formé d’assemblage minéraux, pouvant contenir fossiles"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**[Note mauritanienne]**: Exemple local - grès ferrugineux rouge de Zouérate contenant fossiles de poissons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#### PAGE 84 – TYPES DE ROCHES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**Tableau comparatif**: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| Type | Formation | Exemple mauritanien | Utilisation |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|------|-----------|---------------------|-------------|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| Magmatique | Refroidissement lave | Granite d'Akjoujt | Construction |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| Sédimentaire | Dépôt/Compaction | Calcaire de Boutilimit | Chaux/ciment |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| Métamorphique | Transformation | Gneiss de Tasiast | Ornement |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#### PAGE 85 – SÉDIMENTS ET DIAGENÈSE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**Processus détaillé sahélien**: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1. **Érosion**: Vent harmattan transporte sable 200 km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2. **Transport**: Oued transporte graviers vers Atlantique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3. **Dépôt**: Formation delta fleuve Sénégal (sédiments 10m/100 ans)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**Diagénèse**: Sable → grès en 1 million d'années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#### PAGE 86 – ROCHE SILICEUSE (SABLE)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**[Expérience p.85]**: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- **Matériel**: Sable de dunes + eau + éprouvette graduée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**Observation**: Stratification après agitation → couches horizontales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- **Test dureté**: Grains de quartz rayent verre (Mohs 7)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**[Types sahariens]**: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- **Sable éolien**: grains ronds mats (90% Sahara)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- **Sable fluviatile**: anguleux-luisants (oued)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**Sable ferrugineux**: rouge (oxyde fer) → coloration dunes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#### PAGE 87 – ARGILE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**[Caractéristiques tactiles]**: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- **Test ongle**: rayable facilement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- **Test plasticité**: forme figurines (tradition poterie femmes)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 **Expérience**: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1. Argile + eau → pâte plastique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2. Chauffage 800°C → fissures → durcissement (terre cuite)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**[Origine locale]**: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- **Kaolin blanc**: Adrar (poteries fines)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**Argile rouge**: fer oxydé → briques cuites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#### PAGE 88 – CALCAIRE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**[Tests exhaustifs]**: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**Effervescence**: goutte HCl → bulles CO₂ immédiates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 **Fossiles**: Coquilles strombes (mer crétacée) visibles à l’œil nu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 **Utilisation**: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- Poudre pour whitewash maisons traditionnelles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Chaux vive pour enduits (réaction CaCO₃ → CaO + CO₂)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#### PAGE 89 – EXPÉRIENCE CALCAIRE CHAUFFÉ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**Protocole exact**: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Chauffer calcaire 900°C → blanchit + fissures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2. Gaz recueilli: CO₂ (éteint flamme)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Résidu: chaux vive (CaO) + eau → chaux éteinte (Ca(OH)₂)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#### PAGE 90 – ROCHE SALINE (SEL)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**[Propriétés]**: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- **Solubilité**: 350g/L eau 20°C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- **Cristallisation**: cubes parfaits (halite)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- **Gisements mauritaniens**: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- Sebkha N’Terert (Trarza) – extraction artisanale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- Sebkha Idjil (Tiris) – sel gemme blanc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**[Applications locales]**: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- Conservation poisson (mullet séché + sel) 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- Déneigement routes (sel + sable) – adaptation routes Nouakchott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#### PAGE 91 – EXPÉRIENCE SEL CHAUFFÉ 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**Observations**: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- 800°C: fusion (cristaux fondent)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Refroidissement: reformation cubes → démonstration solidification dirigée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#### PAGE 92 – PÉTROLE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**[Formation détaillée]**: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1. **Matérielle organique**: Plancton crétacé (offshore mauritanien)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**Migration**: 3-4 km profondeur → température 100-150°C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3. **Piège**: Calcaire réservoir + argile couverture (structure anticlinal)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**[Gisement mauritanien]**: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- **Chinguetti**: 120 millions barils (production 2006-2017) 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- **Impact local**: Emplois pêcheurs devenus raffineurs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#### PAGES 93-95 – UTILISATIONS PÉTROLE 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**Produits dérivés**: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- **Carburants**: Gasoil pour pirogues pêche, essence 4x4 désert 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- **Plastiques**: Sacs d’eau Nouakchott (polypropylène)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- **Bitume**: Routes nouvelles Nouakchott-Nouadhibou 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#### PAGES 96-97 – EXERCICES GÉOLOGIE 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**[Exercice 1]**: Définir: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- **Strate**: "Couche sédimentaire horizontale (ex: dunes fossilisées d’Azougui)" 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- **Fossile**: "Reste organisme ancien (coquillage calcaire = preuve mer ancienne)" 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**[Exercice 3]**: Ordonner processus: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Érosion → Transport → Sédimentation → Diagénèse 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### CHAPITRE 5 – GRANDS PROBLÈMES ENVIRONNEMENTAUX (Pages 107-134)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#### PAGE 107 – CHANGEMENTS CLIMATIQUES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**[Données mauritaniennes précises]**: 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- **Température moyenne**: +1.5°C depuis 1970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- **Précipitations**: De 400mm (1970) à 150mm (2023) dans sud-est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- **Impact**: Avancée désert 150 000 km² (1974-2004) 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#### PAGE 108 – EFFET DE SERRE 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**[Gaz à effet de serre]**: 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- **CO₂**: Combustion bois de charbon (80% foyers ruraux) 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- **Méthane**: Riz irrigué (expérimental à Boghé) + digestion ruminants 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#### PAGE 109 – IMPACTS LOCAUX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**[Tableau détaillé]**: 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| Impact | Région touchée | Exemple | 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|--------|----------------|---------|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| Sécheresse | Hodh Ech Chargui | Puits asséchés 2022 | 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| Inondations | Nouakchott | Quartiers Keur Massar sous eau 2023 | 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| Salinisation | Fleuve Sénégal | Intrusion eau salée 40km amont | 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#### PAGE 110 – POLLUTION AIR 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**[Sources urbaines]**: 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- **Véhicules**: 80% plus 10 ans (échappement noir) 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- **Industrie**: Cimenterie de Nouakchott (SO₂) 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**Domestique**: Bois + charbon → particules PM2.5 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**[Mesures proposées]**: 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- Véhicules électriques (projet solaire Bokhol) 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- Filtres à charbon pour foyers (expérimental Kiffa) 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#### PAGE 111 – POLLUTION EAU 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**[Contaminants sahéliens]**: 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- **Nitrates**: Agriculture maraîchère oued (tomates) 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**Pesticides**: DDT historique → persistance sol 20 ans 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- **Hydrocarbures**: Déversement pétrolier 2021 (1000L dans baie de Nouadhibou) 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#### PAGE 112 – POLLUTION SOL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**[Cas étude]**: 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- **Zone industrielle Nouadhibou**: 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Métaux lourds (plomb) → contamination légumes urbains 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- Solution: phyto-remédiation avec plantes locales (Spartina) 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#### PAGE 114 – GESTION DÉCHETS 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**[Statistiques 2023]**: 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- **Production**: 0.7 kg/personne/jour (Nouakchott) 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- **Tri**: 5% ménages uniquement 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**Recyclage**: Plastiques → granulés export Chine 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**[Solutions communautaires]**: 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**Compostage**: Fumier chameau + déchets verts → engrais maraîchers 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- **Incinération**: Projet unité Nouakchott (2025) 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#### PAGE 115 – CATASTROPHES NATURELLES 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**[Types sahéliens]**: 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1. **Sécheresse** (fréquence: 1/3 ans) 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2. **Inondations flash** (soudain, 2-6 heures) 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3. **Feux de brousse** (50 000 ha/an) 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#### PAGE 116 – SÉCHERESSE 1970-2023 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**[Chronologie détaillée]**: 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- **1970-1980**: Perte 150 000 km² terres agricoles 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**2005**: Crise alimentaire → 40% population assistance 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**2022**: Sécheresse exceptionnelle → 750 000 personnes affectées 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#### PAGE 117 – INONDATIONS 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**[Cas 2023 détaillé]**: 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- **Cause**: Pluie 200mm/24h (équivalent annuel) 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- **Dégâts**: 3000 maisons détruites, routes Nationale 3 coupée 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- **Réponse**: Digues provisoires sacs sable (armée) 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#### PAGE 118 – FEUX DE BROUSSE 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**[Données précises 2020]**: 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| Wilaya | Surface brûlée (ha) | Cause principale | 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|--------|---------------------|------------------| 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| Hodh El Gharbi | 330 205 | Cigarettes + vent harmattan | 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| Assaba | 18 230 | Brûlis agricole non contrôlé | 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**[Prévention]**: 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- **Pare-feux**: Tranchées 2m large autour villages 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- **Sensibilisation**: Mosquées + écoles (sermons + cours) 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#### PAGE 119 – INVASIONS CRIQUETS 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**[Cycle 2020-2023]**: 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- **Origine**: Reproduction oued Senegal (humidité) 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**Essaim**: 40 millions criquets → 200 km déplacement/jour 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- **Impact**: Destruction 100% cultures mil dans Hodh 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#### PAGES 120-125 – SOLUTIONS ENVIRONNEMENTALES 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**[Projets élèves]**: 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1. **Affiche anti-plastique**: Slogan wolof "Plastik dafa sax saalit" 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2. **Compostage école**: Utilisation fumier école agricole Boghé 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3. **Plantation mangrove**: Nouakchott lagune (1000 plants 2023) 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#### PAGE 130 – BIBLIOGRAPHIE DÉTAILLÉE 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**Sources locales intégrées**: 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- **Rapport FAO 2023**: "Desertification Mauritania" 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- **Etude santé 2022**: "Bilharziose prevalence Trarza" 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- **Données météo**: Station Nouakchott 1970-2023 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## ANNEXE – RÉSUMÉ MÉTHODOLOGIQUE GLOBAL 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**Pour IA tuteur**: 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1. **Commencer toujours par exemple local** ("Dans votre village...") 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2. **Utiliser unités locales** (km, °C, kg) + contexte nomade/agricole 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3. **Intégrer problèmes actuels** (sécheresse 2023, inflation pétrole) 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4. **Proposer solutions communautaires** (compostage, pare-feu) 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**Fin de l’extraction complète - Tome 2**.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