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0" w:before="0"/>
      </w:pPr>
      <w:r>
        <w:rPr>
          <w:rFonts w:ascii="Arial" w:hAnsi="Arial"/>
          <w:b/>
          <w:color w:val="1F3864"/>
          <w:sz w:val="24"/>
        </w:rPr>
        <w:t>CENTRO DE ESTUDOS AVANÇADOS EM FINANÇAS CORPORATIVAS</w:t>
        <w:br/>
        <w:t>CURSO DE ANÁLISE QUANTITATIVA E VALUATION</w:t>
      </w:r>
    </w:p>
    <w:p>
      <w:pPr>
        <w:jc w:val="center"/>
        <w:spacing w:after="400" w:before="800"/>
      </w:pPr>
      <w:r>
        <w:rPr>
          <w:rFonts w:ascii="Arial" w:hAnsi="Arial"/>
          <w:b/>
          <w:color w:val="1F3864"/>
          <w:sz w:val="36"/>
        </w:rPr>
        <w:t>ESTUDO COMPARATIVO MULTICRITÉRIO DE DESEMPENHO FINANCEIRO E RISCO DE MERCADO</w:t>
      </w:r>
    </w:p>
    <w:p>
      <w:pPr>
        <w:jc w:val="center"/>
        <w:spacing w:after="2400" w:before="0"/>
      </w:pPr>
      <w:r>
        <w:rPr>
          <w:rFonts w:ascii="Arial" w:hAnsi="Arial"/>
          <w:i/>
          <w:color w:val="595959"/>
          <w:sz w:val="24"/>
        </w:rPr>
        <w:t>Análise Integrada de Demonstrações Contábeis, Economic Value Added (EVA), Performance de Ações e Simulação de Monte Carlo de ABEV3, ASAI3 e AMER3 (2021-2025)</w:t>
      </w:r>
    </w:p>
    <w:p>
      <w:pPr>
        <w:jc w:val="center"/>
        <w:spacing w:after="1200" w:before="0"/>
      </w:pPr>
      <w:r>
        <w:rPr>
          <w:rFonts w:ascii="Arial" w:hAnsi="Arial"/>
          <w:b/>
          <w:color w:val="262626"/>
          <w:sz w:val="22"/>
        </w:rPr>
        <w:t>Elaborado por:</w:t>
        <w:br/>
        <w:t>GRUPO DE ESTUDOS E PESQUISAS EM MERCADO DE CAPITAIS</w:t>
        <w:br/>
        <w:br/>
        <w:t>Orientador: Prof. Dr. em Finanças Quantitativas</w:t>
      </w:r>
    </w:p>
    <w:p>
      <w:pPr>
        <w:jc w:val="center"/>
        <w:spacing w:after="0" w:before="800"/>
      </w:pPr>
      <w:r>
        <w:rPr>
          <w:rFonts w:ascii="Arial" w:hAnsi="Arial"/>
          <w:b/>
          <w:color w:val="595959"/>
          <w:sz w:val="20"/>
        </w:rPr>
        <w:t>SÃO PAULO</w:t>
        <w:br/>
        <w:t>JUNHO / 2026</w:t>
      </w:r>
    </w:p>
    <w:p>
      <w:r>
        <w:br w:type="page"/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1. Introdução e Dinâmica Macroeconômica (2021-2025)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Este trabalho apresenta uma análise financeira multicritério abrangendo o período de 2021 a 2025, integrando a avaliação contábil clássica, a mensuração de criação de valor residual por meio do Economic Value Added (EVA), a estatística de retornos e volatilidade das ações no mercado secundário e a modelagem estocástica de risco futuro via Simulação de Monte Carlo. O escopo do estudo compreende três grandes empresas listadas na B3 que operam com diferentes modelos de negócios, custos de capital e estratégias de financiamento: Ambev S.A. (ABEV3), Assaí Atacadista (ASAI3) e Lojas Americanas S.A. (AMER3).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Ao longo dos cinco anos em análise, o cenário macroeconômico brasileiro impôs severos desafios às corporações de varejo e consumo. O período pós-pandemia caracterizou-se pela reaceleração inflacionária, o que obrigou o Banco Central do Brasil a elevar a taxa de juros básica (Selic) de patamares mínimos históricos de 2,0% para a casa de dois dígitos, fechando o ano de 2025 com uma Selic média anual de 10,75%. Esse movimento encareceu de forma generalizada o custo de captação de recursos (taxa livre de risco), encarecendo o carrego de capital de giro e as dívidas bancárias, além de contrair a renda real das famílias brasileiras e elevar o nível de endividamento dos consumidores.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Nesse contexto de juros elevados e aversão ao risco no mercado de capitais, a estrutura de capital e a alavancagem financeira tornaram-se os principais divisores de águas entre a solidez corporativa e a ruína. Empresas com balanços blindados e geração de caixa operacional previsível foram altamente valorizadas, enquanto corporações excessivamente alavancadas ou envolvidas em escândalos corporativos foram duramente corrigidas pelas forças de mercado.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2. Perfis Corporativos das Empresas Analisadas</w:t>
      </w:r>
    </w:p>
    <w:p>
      <w:pPr>
        <w:spacing w:after="120" w:before="240"/>
      </w:pPr>
      <w:r>
        <w:rPr>
          <w:rFonts w:ascii="Arial" w:hAnsi="Arial"/>
          <w:b/>
          <w:color w:val="1F3864"/>
          <w:sz w:val="24"/>
        </w:rPr>
        <w:t>2.1. Ambev S.A. (ABEV3) — O Gigante de Consumo Defensivo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Ambev S.A. é a maior fabricante de cervejas e bebidas da América Latina, com uma participação de mercado dominante no território brasileiro. Seu modelo de negócios apoia-se em uma fantástica escala de fabricação e em uma rede de distribuição própria com capilaridade sem paralelos no país, alcançando praticamente 100% do varejo físico de bebidas. A empresa opera com marcas consolidadas e tem direcionado esforços para a digitalização de seus canais B2B (plataforma Bees) e B2C (aplicativo Zé Delivery). Do ponto de vista de finanças corporativas, a Ambev caracteriza-se por um modelo de consumo não cíclico defensivo, geração robusta de fluxo de caixa livre e uma estrutura patrimonial extremamente conservadora, operando historicamente livre de endividamento líquido (com caixa líquido excedente). Os principais riscos estratégicos no horizonte envolvem a Reforma Tributária nacional (incidência de imposto seletivo) e potenciais mudanças regulatórias na dedutibilidade fiscal do Juros sobre Capital Próprio (JCP).</w:t>
      </w:r>
    </w:p>
    <w:p>
      <w:pPr>
        <w:spacing w:after="120" w:before="240"/>
      </w:pPr>
      <w:r>
        <w:rPr>
          <w:rFonts w:ascii="Arial" w:hAnsi="Arial"/>
          <w:b/>
          <w:color w:val="1F3864"/>
          <w:sz w:val="24"/>
        </w:rPr>
        <w:t>2.2. Assaí Atacadista (ASAI3) — Expansão sob Alavancagem no Atacarejo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O Assaí Atacadista opera no modelo Cash &amp; Carry (atacarejo), focado em vendas em grande escala com margens de comercialização muito estreitas e altíssimo giro de estoques. O atacarejo consolidou-se como o principal canal de abastecimento das famílias brasileiras em momentos de inflação de alimentos. Em 2021, a empresa realizou sua cisão societária (spin-off) do Grupo Pão de Açúcar (GPA), tornando-se uma corporation pulverizada na B3. Visando acelerar seu crescimento e dominar pontos de venda premium nos grandes centros urbanos, o Assaí realizou a aquisição de 70 lojas do Extra Hipermercado. No entanto, o capex volumoso para a conversão e compra desses ativos foi financiado por captação massiva de dívidas no mercado bancário. A permanência da taxa Selic elevada encareceu severamente as despesas financeiras líquidas da empresa, consumindo a rentabilidade líquida do acionista.</w:t>
      </w:r>
    </w:p>
    <w:p>
      <w:pPr>
        <w:spacing w:after="120" w:before="240"/>
      </w:pPr>
      <w:r>
        <w:rPr>
          <w:rFonts w:ascii="Arial" w:hAnsi="Arial"/>
          <w:b/>
          <w:color w:val="1F3864"/>
          <w:sz w:val="24"/>
        </w:rPr>
        <w:t>2.3. Lojas Americanas S.A. (AMER3) — O Colapso Administrativo-Contábil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Fundada em 1929, as Lojas Americanas constituem uma das marcas de varejo físico e eletrônico mais tradicionais e conhecidas do país. Historicamente focada em utilidades, conveniências e eletrônicos, a empresa integrou sua rede de lojas físicas com o e-commerce e marketplace digital de larga escala. No entanto, a trajetória da companhia sofreu um ponto de inflexão catastrófico em janeiro de 2023, com a descoberta de fraude contábil bilionária de aproximadamente R$ 20 bilhões omitidos em passivos de risco sacado (forfaiting). A revelação do rombo contábil congelou as linhas de crédito bancário da empresa, forçando o pedido imediato de Recuperação Judicial. O plano de sobrevivência homologado envolveu um aumento de capital de R$ 12 bilhões liderado pelos acionistas de referência (grupamento 3G Capital) e conversão em larga escala de passivos de credores em novas ações. Em agosto de 2024, a B3 executou o grupamento de ações de 100 para 1 para evitar a listagem continuada do ativo como penny stock.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3. Análise Contábil e Estrutura de Balanços (Exercício de 2025)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As Demonstrações Financeiras Padronizadas (DFPs) auditadas do exercício encerrado em 31 de dezembro de 2025 revelam a real condição de eficiência e liquidez de cada empresa. O quadro contábil a seguir resume as principais linhas de resultado, as margens operacionais e a estrutura de endividamento líquido.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896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Grupo / Indicador Financeiro (2025)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ABEV3 (Ambev)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AMER3 (Americanas)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ASAI3 (Assaí)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Receita Líquida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R$ 82.593 mi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R$ 12.328 mi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R$ 71.519 mi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Lucro Bruto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R$ 42.474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R$ 3.124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R$ 12.066 mi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Margem Bruta (%)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51,42%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25,34%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16,87%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EBITDA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R$ 28.324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R$ 684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R$ 3.623 mi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Margem EBITDA (%)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34,29%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5,55%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5,07%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EBIT (Lucro Operacional)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R$ 21.917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R$ 331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R$ 3.623 mi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Margem EBIT (%)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26,54%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2,69%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5,07%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Lucro Líquido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R$ 14.968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-R$ 271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R$ 1.023 mi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Margem Líquida (%)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18,12%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-2,20%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1,43%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Patrimônio Líquido (PL)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R$ 82.599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R$ 5.372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R$ 4.705 mi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Dívida Líquida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-R$ 8.440 mi (Caixa)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R$ 5.772 mi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R$ 21.319 mi</w:t>
            </w:r>
          </w:p>
        </w:tc>
      </w:tr>
    </w:tbl>
    <w:p>
      <w:pPr>
        <w:spacing w:after="120" w:before="0"/>
      </w:pP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análise da eficiência em nível bruto revela que a Ambev opera com alta rentabilidade (margem bruta de 51,42%), impulsionada pelo pricing power de suas marcas premium e baixíssimos custos diretos de fabricação decorrentes de ganhos de escala. O Assaí, como é típico do modelo de varejo alimentar de alto volume, apresenta uma margem bruta reduzida de 16,87%, exigindo altíssimo giro para cobrir suas despesas. A Americanas apresenta margem bruta de 25,34%, mas sua receita encolhida aponta para perda de escala comercial e dificuldades na negociação com fornecedores pós-fraude.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disparidade operacional é ainda mais marcante no EBIT. A Ambev retém 26,54% de sua receita sob forma de lucro operacional puro (R$ 21.917 milhões), demonstrando alto retorno operacional. O Assaí atinge R$ 3.623 milhões de EBIT (margem de 5,07%), mas seu faturamento é corroído pelas despesas com juros, reduzindo seu lucro líquido final a R$ 1.023 milhões (margem líquida estreita de 1,43%). Por fim, a Americanas reporta EBIT de apenas R$ 331 milhões (margem operacional de 2,69%), insuficiente para arcar com os encargos financeiros da recuperação judicial, culminando em prejuízo líquido de R$ 271 milhões.</w:t>
      </w:r>
    </w:p>
    <w:p>
      <w:pPr>
        <w:jc w:val="both"/>
        <w:spacing w:after="200" w:before="100"/>
        <w:ind w:left="720" w:right="360"/>
        <w:pBdr>
          <w:left w:val="single" w:sz="36" w:space="12" w:color="1F3864"/>
        </w:pBdr>
      </w:pPr>
      <w:r>
        <w:rPr>
          <w:rFonts w:ascii="Arial" w:hAnsi="Arial"/>
          <w:i/>
          <w:color w:val="595959"/>
          <w:sz w:val="20"/>
        </w:rPr>
        <w:t>Destaque Patrimonial: A Ambev detém R$ 8.440 milhões de caixa líquido de obrigações, blindando o negócio contra ciclos de crédito. Em oposição, a Dívida Líquida do Assaí de R$ 21.319 milhões representa 4,53 vezes o seu Patrimônio Líquido contábil, evidenciando extremo risco patrimonial sob juros em dois dígitos.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4. Criação de Valor Econômico (Economic Value Added — EVA)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O lucro contábil reportado na DRE é insuficiente para atestar a eficiência alocativa da gestão. Para avaliar a real criação de riqueza residual, aplicou-se a modelagem de Stern Stewart baseada no Economic Value Added (EVA). O cálculo deduz o custo de oportunidade dos sócios e credores (WACC) do lucro operacional pós-taxas obtido sobre a base de capital investido.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896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Métrica Financeira (2025)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ABEV3 (Ambev)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ASAI3 (Assaí)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AMER3 (Americanas)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Retorno s/ Capital Investido (ROIC pós-tax)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19,24%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8,89%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2,07%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Custo Médio Ponderado de Capital (WACC)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14,08%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10,14%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12,28%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Spread Econômico (ROIC - WACC)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+5,16%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-1,25%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-10,21%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Base de Capital Investido Estimada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R$ 80.380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R$ 26.640 mi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R$ 10.520 mi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Economic Value Added (EVA)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+R$ 4.148 mi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-R$ 333 mi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-R$ 1.074 mi</w:t>
            </w:r>
          </w:p>
        </w:tc>
      </w:tr>
    </w:tbl>
    <w:p>
      <w:pPr>
        <w:spacing w:after="120" w:before="0"/>
      </w:pP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Os spreads econômicos revelam três dinâmicas completamente distintas em termos de geração de riqueza: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* </w:t>
      </w:r>
      <w:r>
        <w:rPr>
          <w:rFonts w:ascii="Arial" w:hAnsi="Arial"/>
          <w:color w:val="262626"/>
          <w:sz w:val="22"/>
        </w:rPr>
        <w:t>Spread Positivo (Ambev): A Ambev obteve spread econômico de +5,16%, resultante de um ROIC de 19,24% superando com folga o custo médio WACC de 14,08%. A rentabilidade de suas operações pagou todas as fontes de capital e gerou riqueza econômica líquida de R$ 4.148 milhões em 2025, justificando por que o mercado acionário a considera um ativo de refúgio e alta qualidade.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* </w:t>
      </w:r>
      <w:r>
        <w:rPr>
          <w:rFonts w:ascii="Arial" w:hAnsi="Arial"/>
          <w:color w:val="262626"/>
          <w:sz w:val="22"/>
        </w:rPr>
        <w:t>Destruição por Custo de Capital (Assaí): O Assaí registrou spread negativo de -1,25%, decorrente de um ROIC de 8,89% inferior ao WACC de 10,14%. Embora o lucro operacional (EBIT) seja nominalmente positivo, a base de capital exigida para financiar as lojas convertidas do Extra tem um custo de oportunidade superior ao retorno das operações. Na prática, a empresa destruiu R$ 333 milhões de riqueza residual de seus sócios no ano.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* </w:t>
      </w:r>
      <w:r>
        <w:rPr>
          <w:rFonts w:ascii="Arial" w:hAnsi="Arial"/>
          <w:color w:val="262626"/>
          <w:sz w:val="22"/>
        </w:rPr>
        <w:t>Destruição Condenável (Americanas): A Americanas destruiu R$ 1.074 milhões de valor acionário em 2025. O spread econômico foi de drásticos -10,21%, resultado de um ROIC ínfimo de 2,07% contra um WACC elevado de 12,28%, inflado pelo alto prêmio de risco exigido pelos credores da companhia em processo de recuperação judicial.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5. Performance de Mercado e Risco Acionário (2021-2025)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saúde financeira refletida nos demonstrativos contábeis tem impacto direto na precificação das ações no mercado de capitais secundário. A tabela a seguir apresenta os indicadores estatísticos de performance e risco acionário baseados nas séries diárias completas ajustadas de ABEV3, ASAI3, AMER3 contra o benchmark do Ibovespa ao longo de 5 anos.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896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Estatística Acionária (2021-2025)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ABEV3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AMER3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ASAI3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IBOV (Índice)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Retorno Acumulado (5 anos)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29,28%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-99,94%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-47,19%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46,03%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Retorno Anualizado (CAGR)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5,27%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-76,96%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-11,99%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7,87%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Volatilidade Anualizada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23,34%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129,45%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40,45%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17,46%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Índice Sharpe (Rf = 10,75%)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-0,23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-0,68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-0,56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-0,17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Beta Sistemático (vs IBOV)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0,6430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1,5005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1,0981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1,0000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Máximo Drawdown (Pior Queda)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-36,18%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-99,96%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-75,55%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-26,50%</w:t>
            </w:r>
          </w:p>
        </w:tc>
      </w:tr>
    </w:tbl>
    <w:p>
      <w:pPr>
        <w:spacing w:after="120" w:before="0"/>
      </w:pP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curva de retorno acumulado normalizado exibe a dominância do benchmark: o Ibovespa registrou alta acumulada de 46,03% no período. A Ambev (ABEV3) operou com menor volatilidade (23,34% a.a.) e o menor Drawdown do grupo de ações (-36,18%), fechando o período com retorno positivo de 29,28%, consolidando-se como ativo de proteção patrimonial.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O Assaí (ASAI3) registrou desvalorização acumulada de -47,19% no período, reflexo da aversão de risco diante do endividamento bruto elevado. Sua volatilidade anualizada de 40,45% foi mais que o dobro do Ibovespa, com queda máxima acumulada (Drawdown) de -75,55% de suas cotações.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As Lojas Americanas (AMER3) sofreram uma ruína acionária quase integral, registrando perda de -99,94% de seu valor de mercado. Sua volatilidade anualizada extrema de 129,45% a.a. e a perda de capital acionário acentuada refletem o risco extremo de desastre administrativo-contábil, com Drawdown de -99,96%.</w:t>
      </w:r>
    </w:p>
    <w:p>
      <w:pPr>
        <w:spacing w:after="120" w:before="240"/>
      </w:pPr>
      <w:r>
        <w:rPr>
          <w:rFonts w:ascii="Arial" w:hAnsi="Arial"/>
          <w:b/>
          <w:color w:val="1F3864"/>
          <w:sz w:val="24"/>
        </w:rPr>
        <w:t>5.1. Matriz de Correlação de Retornos Diários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correlação estatística cruzada de retornos diários revela o grau de movimentação conjunta das ações contra o Ibovespa.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896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Matriz de Correlação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ABEV3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AMER3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ASAI3</w:t>
            </w:r>
          </w:p>
        </w:tc>
        <w:tc>
          <w:tcPr>
            <w:tcW w:type="dxa" w:w="2592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IBOV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ABEV3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1,0000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0,0878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0,2511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0,4809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AMER3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0,0878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1,0000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0,1331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0,2023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ASAI3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0,2511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0,1331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1,0000</w:t>
            </w:r>
          </w:p>
        </w:tc>
        <w:tc>
          <w:tcPr>
            <w:tcW w:type="dxa" w:w="2592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0,4738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IBOV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0,4809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0,2023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0,4738</w:t>
            </w:r>
          </w:p>
        </w:tc>
        <w:tc>
          <w:tcPr>
            <w:tcW w:type="dxa" w:w="2592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1,0000</w:t>
            </w:r>
          </w:p>
        </w:tc>
      </w:tr>
    </w:tbl>
    <w:p>
      <w:pPr>
        <w:spacing w:after="120" w:before="0"/>
      </w:pP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baixa correlação cruzada diária entre as três ações (por exemplo, 0,08 entre ABEV3 e AMER3) sugere que os preços das ações reagiram de forma individualizada a notícias corporativas microeconômicas específicas ao invés de oscilarem de forma sistemática. Para alocação em portfólios diversificados, a Ambev desponta como excelente diversificador estratégico devido ao seu Beta sistemático baixo de 0,6430 e correlação moderada com o Ibovespa (0,48).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6. Projeção de Risco Futuro via Simulação de Monte Carlo (2026)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Para estimar a dispersão e o risco futuro de mercado para o ano de 2026, implementou-se uma modelagem de projeção estocástica baseada no Movimento Browniano Geométrico (MBG). O modelo é calibrado utilizando a tendência (drift) histórica e a volatilidade (sigma) calculadas a partir das séries completas de 5 anos.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equação estocástica do MBG assume que as variações percentuais nos preços das ações seguem uma componente determinística de tendência e um choque aleatório representado pelo processo de Wiener (distribuição normal de média zero e desvio-padrão unitário). Foram simulados 10.000 caminhos alternativos de preços para 252 dias úteis de mercado de capitais do ano de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896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Estatística Monte Carlo (2026)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ABEV3 (Ambev)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AMER3 (Americanas)</w:t>
            </w:r>
          </w:p>
        </w:tc>
        <w:tc>
          <w:tcPr>
            <w:tcW w:type="dxa" w:w="3168"/>
            <w:shd w:fill="1F3864" w:color="1F3864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ASAI3 (Assaí)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Último Preço Real (Dez/2025)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R$ 13,86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R$ 5,13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R$ 7,20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Preço Mediano Projetado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R$ 14,26 (+2,88%)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R$ 1,11 (-78,38%)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R$ 6,30 (-12,54%)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Percentil 5% (Pior Cenário)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R$ 9,67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R$ 0,14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R$ 3,23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Percentil 95% (Melhor Cenário)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R$ 20,99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R$ 9,05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R$ 12,26</w:t>
            </w:r>
          </w:p>
        </w:tc>
      </w:tr>
      <w:tr>
        <w:tc>
          <w:tcPr>
            <w:tcW w:type="dxa" w:w="4896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Value at Risk (VaR 95% Anual)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-30,27%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-97,26%</w:t>
            </w:r>
          </w:p>
        </w:tc>
        <w:tc>
          <w:tcPr>
            <w:tcW w:type="dxa" w:w="3168"/>
            <w:shd w:fill="FFFFFF" w:color="FFFFFF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-55,09%</w:t>
            </w:r>
          </w:p>
        </w:tc>
      </w:tr>
      <w:tr>
        <w:tc>
          <w:tcPr>
            <w:tcW w:type="dxa" w:w="4896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left"/>
              <w:spacing w:after="60" w:before="60"/>
            </w:pPr>
            <w:r/>
            <w:r>
              <w:rPr>
                <w:rFonts w:ascii="Arial" w:hAnsi="Arial"/>
                <w:b/>
                <w:color w:val="262626"/>
                <w:sz w:val="19"/>
              </w:rPr>
              <w:t>Probabilidade de Perda Anual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45,1%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88,6%</w:t>
            </w:r>
          </w:p>
        </w:tc>
        <w:tc>
          <w:tcPr>
            <w:tcW w:type="dxa" w:w="3168"/>
            <w:shd w:fill="F1F5F9" w:color="F1F5F9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  <w:spacing w:after="60" w:before="60"/>
            </w:pPr>
            <w:r/>
            <w:r>
              <w:rPr>
                <w:rFonts w:ascii="Arial" w:hAnsi="Arial"/>
                <w:b w:val="0"/>
                <w:color w:val="262626"/>
                <w:sz w:val="19"/>
              </w:rPr>
              <w:t>63,0%</w:t>
            </w:r>
          </w:p>
        </w:tc>
      </w:tr>
    </w:tbl>
    <w:p>
      <w:pPr>
        <w:spacing w:after="120" w:before="0"/>
      </w:pP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Os resultados das projeções estocásticas confirmam e quantificam de forma matemática a saúde contábil de cada empresa: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* </w:t>
      </w:r>
      <w:r>
        <w:rPr>
          <w:rFonts w:ascii="Arial" w:hAnsi="Arial"/>
          <w:color w:val="262626"/>
          <w:sz w:val="22"/>
        </w:rPr>
        <w:t>ABEV3 (Risco Controlado): O funil estocástico da Ambev é estreito e centrado. Partindo de R$ 13,86, a mediana projeta R$ 14,26 em dezembro de 2026. O pior cenário (P5) estima R$ 9,67. O VaR de -30,27% expressa a menor perda esperada e a probabilidade de perda é de apenas 45,1%, demonstrando segurança relativa para o investidor.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* </w:t>
      </w:r>
      <w:r>
        <w:rPr>
          <w:rFonts w:ascii="Arial" w:hAnsi="Arial"/>
          <w:color w:val="262626"/>
          <w:sz w:val="22"/>
        </w:rPr>
        <w:t>ASAI3 (Risco Intermediário): O funil do Assaí reflete volatilidade moderada-alta. O preço mediano esperado é de R$ 6,30 (-12,54%). O VaR anualizado de -55,09% sinaliza que no pior cenário a ação cairia para R$ 3,23. A probabilidade de perda no ano é de 63,0%, refletindo o peso continuado dos juros de financiamento no preço do ativo.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* </w:t>
      </w:r>
      <w:r>
        <w:rPr>
          <w:rFonts w:ascii="Arial" w:hAnsi="Arial"/>
          <w:color w:val="262626"/>
          <w:sz w:val="22"/>
        </w:rPr>
        <w:t>AMER3 (Risco Crítico): O funil de Americanas é extremamente disperso e assimétrico, com tendência majoritária de convergência para próximo de zero. A mediana projetada é de R$ 1,11 (desvalorização de -78,38%). A probabilidade de perda em 2026 é de 88,6%, com VaR de -97,26% (preço caindo para R$ 0,14 no pior cenário). O papel opera sob caráter especulativo extremo com alta probabilidade de colapso acionário.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7. Conclusões Integradas e Recomendação Prática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A integração analítica contábil, de criação de valor residual e estocástica de mercado construída neste trabalho permite chegar a quatro conclusões fundamentais para tomadores de decisão financeira e gestores de investimento: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1. </w:t>
      </w:r>
      <w:r>
        <w:rPr>
          <w:rFonts w:ascii="Arial" w:hAnsi="Arial"/>
          <w:color w:val="262626"/>
          <w:sz w:val="22"/>
        </w:rPr>
        <w:t>A saúde dos demonstrativos contábeis determina o comportamento de longo prazo na Bolsa de Valores. A resiliência da Ambev decorre de seu EVA recorrentemente positivo (+R$ 4.148 milhões) e de sua estrutura de capital livre de dívidas, blindando as ações contra pressões macroeconômicas de taxas de juros elevadas.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2. </w:t>
      </w:r>
      <w:r>
        <w:rPr>
          <w:rFonts w:ascii="Arial" w:hAnsi="Arial"/>
          <w:color w:val="262626"/>
          <w:sz w:val="22"/>
        </w:rPr>
        <w:t>A expansão corporativa financiada por alavancagem financeira extrema em ciclos de juros altos representa um elevado risco de mercado. O Assaí demonstra que o faturamento elevado (R$ 71,5 bilhões) é insuficiente se a rentabilidade operacional (ROIC) for menor que o custo médio de capital ponderado (WACC), gerando spread negativo e destruição econômica (EVA negativo).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3. </w:t>
      </w:r>
      <w:r>
        <w:rPr>
          <w:rFonts w:ascii="Arial" w:hAnsi="Arial"/>
          <w:color w:val="262626"/>
          <w:sz w:val="22"/>
        </w:rPr>
        <w:t>A fragilidade administrativa e as falhas profundas de governança corporativa produzem perdas binárias de capital permanente. O colapso da Americanas (-99,94% de retornos) materializa o risco extremo de crédito e destruição patrimonial irreversível.</w:t>
      </w:r>
    </w:p>
    <w:p>
      <w:pPr>
        <w:jc w:val="both"/>
        <w:spacing w:after="160" w:before="0" w:line="240" w:lineRule="auto"/>
      </w:pPr>
      <w:r>
        <w:rPr>
          <w:rFonts w:ascii="Arial" w:hAnsi="Arial"/>
          <w:b/>
          <w:color w:val="262626"/>
          <w:sz w:val="22"/>
        </w:rPr>
        <w:t xml:space="preserve">4. </w:t>
      </w:r>
      <w:r>
        <w:rPr>
          <w:rFonts w:ascii="Arial" w:hAnsi="Arial"/>
          <w:color w:val="262626"/>
          <w:sz w:val="22"/>
        </w:rPr>
        <w:t>A modelagem estocástica por simulação de Monte Carlo serve como rica ferramenta complementar de gerenciamento de risco de portfólio. Ao calibrar drift e volatilidade de longo prazo, o modelo estocástico prevê matematicamente a dispersão das cotações futuras, auxiliando na estimativa de margem de segurança e Value at Risk (VaR).</w:t>
      </w:r>
    </w:p>
    <w:p>
      <w:pPr>
        <w:jc w:val="both"/>
        <w:spacing w:after="160" w:before="0" w:line="240" w:lineRule="auto"/>
      </w:pPr>
      <w:r>
        <w:rPr>
          <w:rFonts w:ascii="Arial" w:hAnsi="Arial"/>
          <w:color w:val="262626"/>
          <w:sz w:val="22"/>
        </w:rPr>
        <w:t>Como diretriz prática de investimento, recomenda-se a priorização na alocação de recursos em corporações com spreads econômicos positivos e baixa alavancagem financeira, exigindo margem de segurança baseada no VaR anualizado para mitigar os riscos em momentos de juros de dois dígitos no Brasil.</w:t>
      </w:r>
    </w:p>
    <w:p>
      <w:pPr>
        <w:shd w:fill="1F3864" w:color="1F3864"/>
        <w:spacing w:after="200" w:before="360"/>
        <w:ind w:left="200" w:right="200"/>
      </w:pPr>
      <w:r>
        <w:rPr>
          <w:rFonts w:ascii="Arial" w:hAnsi="Arial"/>
          <w:b/>
          <w:color w:val="FFFFFF"/>
          <w:sz w:val="28"/>
        </w:rPr>
        <w:t>8. Referências Bibliográficas</w:t>
      </w:r>
    </w:p>
    <w:p>
      <w:r>
        <w:rPr>
          <w:rFonts w:ascii="Arial" w:hAnsi="Arial"/>
          <w:sz w:val="22"/>
        </w:rPr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AMERICANAS S.A.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Central de Resultados.</w:t>
      </w:r>
      <w:r>
        <w:rPr>
          <w:rFonts w:ascii="Arial" w:hAnsi="Arial"/>
          <w:color w:val="262626"/>
          <w:sz w:val="22"/>
        </w:rPr>
        <w:t xml:space="preserve"> Rio de Janeiro: Lojas Americanas Relações com Investidores, 2025.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9">
        <w:r>
          <w:rPr>
            <w:rFonts w:ascii="Arial" w:hAnsi="Arial" w:cs="Arial" w:eastAsia="Arial"/>
            <w:color w:val="1155CC"/>
            <w:u w:val="single"/>
            <w:sz w:val="22"/>
          </w:rPr>
          <w:t>https://ri.americanas.io/informacoes-aos-investidores/central-de-resultados/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AMBEV S.A.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Divulgação de Resultados.</w:t>
      </w:r>
      <w:r>
        <w:rPr>
          <w:rFonts w:ascii="Arial" w:hAnsi="Arial"/>
          <w:color w:val="262626"/>
          <w:sz w:val="22"/>
        </w:rPr>
        <w:t xml:space="preserve"> São Paulo: Ambev Relações com Investidores, 2025.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10">
        <w:r>
          <w:rPr>
            <w:rFonts w:ascii="Arial" w:hAnsi="Arial" w:cs="Arial" w:eastAsia="Arial"/>
            <w:color w:val="1155CC"/>
            <w:u w:val="single"/>
            <w:sz w:val="22"/>
          </w:rPr>
          <w:t>https://ri.ambev.com.br/relatorios-publicacoes/divulgacao-de-resultados/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ASSAÍ ATACADISTA.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Resultados Trimestrais.</w:t>
      </w:r>
      <w:r>
        <w:rPr>
          <w:rFonts w:ascii="Arial" w:hAnsi="Arial"/>
          <w:color w:val="262626"/>
          <w:sz w:val="22"/>
        </w:rPr>
        <w:t xml:space="preserve"> São Paulo: Assaí Relações com Investidores, 2025.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11">
        <w:r>
          <w:rPr>
            <w:rFonts w:ascii="Arial" w:hAnsi="Arial" w:cs="Arial" w:eastAsia="Arial"/>
            <w:color w:val="1155CC"/>
            <w:u w:val="single"/>
            <w:sz w:val="22"/>
          </w:rPr>
          <w:t>https://ri.assai.com.br/informacoes-financeiras/resultados-trimestrais/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ASSAF NETO, Alexandre.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Finanças Corporativas e Valor.</w:t>
      </w:r>
      <w:r>
        <w:rPr>
          <w:rFonts w:ascii="Arial" w:hAnsi="Arial"/>
          <w:color w:val="262626"/>
          <w:sz w:val="22"/>
        </w:rPr>
        <w:t xml:space="preserve"> 8. ed. São Paulo: Atlas, 2020. ISBN 978-85-97-02637-5.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B3 — BRASIL, BOLSA, BALCÃO.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Histórico de cotações de ativos listados.</w:t>
      </w:r>
      <w:r>
        <w:rPr>
          <w:rFonts w:ascii="Arial" w:hAnsi="Arial"/>
          <w:color w:val="262626"/>
          <w:sz w:val="22"/>
        </w:rPr>
        <w:t xml:space="preserve"> São Paulo: B3 S.A., 2025.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12">
        <w:r>
          <w:rPr>
            <w:rFonts w:ascii="Arial" w:hAnsi="Arial" w:cs="Arial" w:eastAsia="Arial"/>
            <w:color w:val="1155CC"/>
            <w:u w:val="single"/>
            <w:sz w:val="22"/>
          </w:rPr>
          <w:t>https://www.b3.com.br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BANCO CENTRAL DO BRASIL.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Taxa Selic — Dados Diários e Históricos.</w:t>
      </w:r>
      <w:r>
        <w:rPr>
          <w:rFonts w:ascii="Arial" w:hAnsi="Arial"/>
          <w:color w:val="262626"/>
          <w:sz w:val="22"/>
        </w:rPr>
        <w:t xml:space="preserve"> Brasília: BCB, 2025.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13">
        <w:r>
          <w:rPr>
            <w:rFonts w:ascii="Arial" w:hAnsi="Arial" w:cs="Arial" w:eastAsia="Arial"/>
            <w:color w:val="1155CC"/>
            <w:u w:val="single"/>
            <w:sz w:val="22"/>
          </w:rPr>
          <w:t>https://www.bcb.gov.br/estatisticas/grafico/graficoestatistica/taxaselic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BRASIL. Comissão de Valores Mobiliários — CVM.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Dados cadastrais e demonstrativos financeiros de empresas abertas.</w:t>
      </w:r>
      <w:r>
        <w:rPr>
          <w:rFonts w:ascii="Arial" w:hAnsi="Arial"/>
          <w:color w:val="262626"/>
          <w:sz w:val="22"/>
        </w:rPr>
        <w:t xml:space="preserve"> Rio de Janeiro: CVM, 2025.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14">
        <w:r>
          <w:rPr>
            <w:rFonts w:ascii="Arial" w:hAnsi="Arial" w:cs="Arial" w:eastAsia="Arial"/>
            <w:color w:val="1155CC"/>
            <w:u w:val="single"/>
            <w:sz w:val="22"/>
          </w:rPr>
          <w:t>https://dados.cvm.gov.br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BREALEY, Richard A.; MYERS, Stewart C.; ALLEN, Franklin.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Principles of Corporate Finance.</w:t>
      </w:r>
      <w:r>
        <w:rPr>
          <w:rFonts w:ascii="Arial" w:hAnsi="Arial"/>
          <w:color w:val="262626"/>
          <w:sz w:val="22"/>
        </w:rPr>
        <w:t xml:space="preserve"> 14. ed. New York: McGraw-Hill Education, 2022. ISBN 978-1-260-56555-6.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DAMODARAN, Aswath.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Investment Valuation: Tools and Techniques for Determining the Value of Any Asset.</w:t>
      </w:r>
      <w:r>
        <w:rPr>
          <w:rFonts w:ascii="Arial" w:hAnsi="Arial"/>
          <w:color w:val="262626"/>
          <w:sz w:val="22"/>
        </w:rPr>
        <w:t xml:space="preserve"> 3. ed. Hoboken: John Wiley &amp; Sons, 2012. ISBN 978-1-118-01152-2.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FLEURIET, Michel; KEHDY, Ricardo; BLANC, Georges.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O Modelo Fleuriet: A Dinâmica Financeira das Empresas Brasileiras.</w:t>
      </w:r>
      <w:r>
        <w:rPr>
          <w:rFonts w:ascii="Arial" w:hAnsi="Arial"/>
          <w:color w:val="262626"/>
          <w:sz w:val="22"/>
        </w:rPr>
        <w:t xml:space="preserve"> 7. ed. Rio de Janeiro: Elsevier, 2003. ISBN 978-85-352-1237-4.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GLASSERMAN, Paul.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Monte Carlo Methods in Financial Engineering.</w:t>
      </w:r>
      <w:r>
        <w:rPr>
          <w:rFonts w:ascii="Arial" w:hAnsi="Arial"/>
          <w:color w:val="262626"/>
          <w:sz w:val="22"/>
        </w:rPr>
        <w:t xml:space="preserve"> New York: Springer, 2004. (Applications of Mathematics, v. 53). ISBN 978-0-387-00451-8.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HULL, John C.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Options, Futures, and Other Derivatives.</w:t>
      </w:r>
      <w:r>
        <w:rPr>
          <w:rFonts w:ascii="Arial" w:hAnsi="Arial"/>
          <w:color w:val="262626"/>
          <w:sz w:val="22"/>
        </w:rPr>
        <w:t xml:space="preserve"> 11. ed. Harlow: Pearson Education, 2022. ISBN 978-0-136-93999-5.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JORION, Philippe.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Value at Risk: The New Benchmark for Managing Financial Risk.</w:t>
      </w:r>
      <w:r>
        <w:rPr>
          <w:rFonts w:ascii="Arial" w:hAnsi="Arial"/>
          <w:color w:val="262626"/>
          <w:sz w:val="22"/>
        </w:rPr>
        <w:t xml:space="preserve"> 3. ed. New York: McGraw-Hill, 2007. ISBN 978-0-071-46495-6.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LABORATÓRIO DE FINANÇAS.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API de Preços Corrigidos — v2.</w:t>
      </w:r>
      <w:r>
        <w:rPr>
          <w:rFonts w:ascii="Arial" w:hAnsi="Arial"/>
          <w:color w:val="262626"/>
          <w:sz w:val="22"/>
        </w:rPr>
        <w:t xml:space="preserve"> Plataforma acadêmica para extração de séries históricas de cotações ajustadas e indicadores contábeis, 2026.</w:t>
      </w:r>
      <w:r>
        <w:rPr>
          <w:rFonts w:ascii="Arial" w:hAnsi="Arial"/>
          <w:color w:val="262626"/>
          <w:sz w:val="22"/>
        </w:rPr>
        <w:t xml:space="preserve"> Disponível em: </w:t>
      </w:r>
      <w:hyperlink r:id="rId15">
        <w:r>
          <w:rPr>
            <w:rFonts w:ascii="Arial" w:hAnsi="Arial" w:cs="Arial" w:eastAsia="Arial"/>
            <w:color w:val="1155CC"/>
            <w:u w:val="single"/>
            <w:sz w:val="22"/>
          </w:rPr>
          <w:t>https://laboratoriodefinancas.com</w:t>
        </w:r>
      </w:hyperlink>
      <w:r>
        <w:rPr>
          <w:rFonts w:ascii="Arial" w:hAnsi="Arial"/>
          <w:color w:val="262626"/>
          <w:sz w:val="22"/>
        </w:rPr>
        <w:t>. Acesso em: 10 jun. 2026.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MARKOWITZ, Harry M.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Portfolio Selection.</w:t>
      </w:r>
      <w:r>
        <w:rPr>
          <w:rFonts w:ascii="Arial" w:hAnsi="Arial"/>
          <w:color w:val="262626"/>
          <w:sz w:val="22"/>
        </w:rPr>
        <w:t xml:space="preserve"> The Journal of Finance, v. 7, n. 1, p. 77-91, mar. 1952. DOI: 10.2307/2975974.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SHARPE, William F.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Capital Asset Prices: A Theory of Market Equilibrium under Conditions of Risk.</w:t>
      </w:r>
      <w:r>
        <w:rPr>
          <w:rFonts w:ascii="Arial" w:hAnsi="Arial"/>
          <w:color w:val="262626"/>
          <w:sz w:val="22"/>
        </w:rPr>
        <w:t xml:space="preserve"> The Journal of Finance, v. 19, n. 3, p. 425-442, set. 1964. DOI: 10.2307/2977928.</w:t>
      </w:r>
    </w:p>
    <w:p>
      <w:pPr>
        <w:spacing w:after="160" w:before="0"/>
        <w:ind w:left="720" w:hanging="720"/>
      </w:pPr>
      <w:r>
        <w:rPr>
          <w:rFonts w:ascii="Arial" w:hAnsi="Arial"/>
          <w:b/>
          <w:color w:val="262626"/>
          <w:sz w:val="22"/>
        </w:rPr>
        <w:t>STEWART, G. Bennett III.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color w:val="262626"/>
          <w:sz w:val="22"/>
        </w:rPr>
        <w:t>The Quest for Value: A Guide for Senior Managers.</w:t>
      </w:r>
      <w:r>
        <w:rPr>
          <w:rFonts w:ascii="Arial" w:hAnsi="Arial"/>
          <w:color w:val="262626"/>
          <w:sz w:val="22"/>
        </w:rPr>
        <w:t xml:space="preserve"> New York: Harper Business, 1991. ISBN 978-0-887-30418-1.</w:t>
      </w:r>
    </w:p>
    <w:p>
      <w:r>
        <w:rPr>
          <w:rFonts w:ascii="Arial" w:hAnsi="Arial"/>
          <w:sz w:val="22"/>
        </w:rPr>
      </w:r>
    </w:p>
    <w:p>
      <w:pPr>
        <w:jc w:val="center"/>
      </w:pPr>
      <w:r>
        <w:rPr>
          <w:rFonts w:ascii="Arial" w:hAnsi="Arial"/>
          <w:i/>
          <w:color w:val="595959"/>
          <w:sz w:val="19"/>
        </w:rPr>
        <w:t>Norma Técnica de Referência: ABNT NBR 6023:2018 — Informação e documentação — Referências.</w:t>
      </w:r>
    </w:p>
    <w:sectPr w:rsidR="00FC693F" w:rsidRPr="0006063C" w:rsidSect="00034616">
      <w:pgSz w:w="11906" w:h="16838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.americanas.io/informacoes-aos-investidores/central-de-resultados/" TargetMode="External"/><Relationship Id="rId10" Type="http://schemas.openxmlformats.org/officeDocument/2006/relationships/hyperlink" Target="https://ri.ambev.com.br/relatorios-publicacoes/divulgacao-de-resultados/" TargetMode="External"/><Relationship Id="rId11" Type="http://schemas.openxmlformats.org/officeDocument/2006/relationships/hyperlink" Target="https://ri.assai.com.br/informacoes-financeiras/resultados-trimestrais/" TargetMode="External"/><Relationship Id="rId12" Type="http://schemas.openxmlformats.org/officeDocument/2006/relationships/hyperlink" Target="https://www.b3.com.br" TargetMode="External"/><Relationship Id="rId13" Type="http://schemas.openxmlformats.org/officeDocument/2006/relationships/hyperlink" Target="https://www.bcb.gov.br/estatisticas/grafico/graficoestatistica/taxaselic" TargetMode="External"/><Relationship Id="rId14" Type="http://schemas.openxmlformats.org/officeDocument/2006/relationships/hyperlink" Target="https://dados.cvm.gov.br" TargetMode="External"/><Relationship Id="rId15" Type="http://schemas.openxmlformats.org/officeDocument/2006/relationships/hyperlink" Target="https://laboratoriodefinanc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