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3864" w:color="1F3864"/>
        <w:spacing w:after="240" w:before="0"/>
        <w:ind w:left="200" w:right="200"/>
      </w:pPr>
      <w:r>
        <w:rPr>
          <w:rFonts w:ascii="Arial" w:hAnsi="Arial"/>
          <w:b/>
          <w:color w:val="FFFFFF"/>
          <w:sz w:val="36"/>
        </w:rPr>
        <w:t>Roteiro de Falas e Guia Explicativo da Apresentação</w:t>
      </w:r>
    </w:p>
    <w:p>
      <w:r>
        <w:rPr>
          <w:rFonts w:ascii="Arial" w:hAnsi="Arial"/>
          <w:sz w:val="22"/>
        </w:rPr>
      </w:r>
    </w:p>
    <w:p>
      <w:pPr>
        <w:spacing w:after="240" w:before="0"/>
      </w:pPr>
      <w:r>
        <w:rPr>
          <w:rFonts w:ascii="Arial" w:hAnsi="Arial"/>
          <w:i/>
          <w:sz w:val="23"/>
        </w:rPr>
        <w:t>Este material serve como guia de apoio para o orador durante a apresentação do projeto. Conforme solicitado, a estrutura foi dividida em Falas Gerais (introdução, contexto, conceitos transversais e conclusões) e Blocos Temáticos específicos por empresa (Ambev, Assaí e Americanas). Isso permite que cada corporação seja discutida de forma consolidada e fluida.</w:t>
      </w:r>
    </w:p>
    <w:p>
      <w:pPr>
        <w:shd w:fill="1F3864" w:color="1F3864"/>
        <w:spacing w:after="160" w:before="360"/>
        <w:ind w:left="200" w:right="200"/>
      </w:pPr>
      <w:r>
        <w:rPr>
          <w:rFonts w:ascii="Arial" w:hAnsi="Arial"/>
          <w:b/>
          <w:color w:val="FFFFFF"/>
          <w:sz w:val="26"/>
        </w:rPr>
        <w:t>Seção 1: Falas Gerais e Transversais</w:t>
      </w:r>
    </w:p>
    <w:p>
      <w:pPr>
        <w:spacing w:after="120" w:before="240"/>
      </w:pPr>
      <w:r>
        <w:rPr>
          <w:rFonts w:ascii="Arial" w:hAnsi="Arial"/>
          <w:b/>
          <w:color w:val="1F3864"/>
          <w:sz w:val="24"/>
        </w:rPr>
        <w:t>1. Abertura do Trabalho</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1 (Capa)</w:t>
        <w:br/>
      </w:r>
      <w:r>
        <w:rPr>
          <w:rFonts w:ascii="Arial" w:hAnsi="Arial"/>
          <w:b/>
          <w:color w:val="595959"/>
          <w:sz w:val="19"/>
        </w:rPr>
        <w:t xml:space="preserve">🎯 Objetivo: </w:t>
      </w:r>
      <w:r>
        <w:rPr>
          <w:rFonts w:ascii="Arial" w:hAnsi="Arial"/>
          <w:color w:val="595959"/>
          <w:sz w:val="19"/>
        </w:rPr>
        <w:t>Apresentar o tema do estudo, a equipe e introduzir a abordagem integrada contábil-estocástica.</w:t>
      </w:r>
    </w:p>
    <w:p>
      <w:pPr>
        <w:jc w:val="both"/>
        <w:spacing w:after="160" w:before="0"/>
        <w:ind w:left="360" w:right="360"/>
      </w:pPr>
      <w:r>
        <w:rPr>
          <w:rFonts w:ascii="Arial" w:hAnsi="Arial"/>
          <w:b/>
          <w:color w:val="1F3864"/>
          <w:sz w:val="26"/>
        </w:rPr>
        <w:t xml:space="preserve">“ </w:t>
      </w:r>
      <w:r>
        <w:rPr>
          <w:rFonts w:ascii="Arial" w:hAnsi="Arial"/>
          <w:color w:val="262626"/>
          <w:sz w:val="22"/>
        </w:rPr>
        <w:t>Olá a todos. Vamos dar início à nossa apresentação executiva que aborda um estudo profundo de criação de valor econômico e performance de mercado no varejo e consumo brasileiro. O nosso objetivo é analisar e comparar o desempenho operacional, contábil e acionário de três gigantes do nosso mercado: a Ambev (ABEV3), o Assaí Atacadista (ASAI3) e as Lojas Americanas (AMER3), ao longo do período de 5 anos compreendido entre 2021 e 2025. Mais do que uma simples análise de indicadores tradicionais, o diferencial do nosso projeto está na integração multicritério. Nós cruzamos os dados contábeis puros com métricas de criação de valor residual, como o EVA (Economic Value Added), confrontamos esses resultados com a performance real das ações na Bolsa frente ao Ibovespa e, finalmente, rodamos uma projeção estocástica baseada em 10.000 simulações de Monte Carlo para mensurar matematicamente o risco estatístico de cada ativo para o ano de 2026. Vamos entender como a saúde interna das demonstrações financeiras molda as projeções de risco de mercado na vida real.</w:t>
      </w:r>
      <w:r>
        <w:rPr>
          <w:rFonts w:ascii="Arial" w:hAnsi="Arial"/>
          <w:b/>
          <w:color w:val="1F3864"/>
          <w:sz w:val="26"/>
        </w:rPr>
        <w:t xml:space="preserve"> ”</w:t>
      </w:r>
    </w:p>
    <w:p>
      <w:pPr>
        <w:spacing w:after="200" w:before="0"/>
        <w:ind w:left="360"/>
      </w:pPr>
      <w:r>
        <w:rPr>
          <w:rFonts w:ascii="Arial" w:hAnsi="Arial"/>
          <w:b/>
          <w:color w:val="595959"/>
          <w:sz w:val="19"/>
        </w:rPr>
        <w:t xml:space="preserve">💡 Dica de Apresentação: </w:t>
      </w:r>
      <w:r>
        <w:rPr>
          <w:rFonts w:ascii="Arial" w:hAnsi="Arial"/>
          <w:i/>
          <w:color w:val="595959"/>
          <w:sz w:val="19"/>
        </w:rPr>
        <w:t>Fale num tom pausado e profissional. Use o Slide 1 projetado como fundo enquanto contextualiza a relevância do estudo.</w:t>
      </w:r>
    </w:p>
    <w:p>
      <w:pPr>
        <w:spacing w:after="120" w:before="240"/>
      </w:pPr>
      <w:r>
        <w:rPr>
          <w:rFonts w:ascii="Arial" w:hAnsi="Arial"/>
          <w:b/>
          <w:color w:val="1F3864"/>
          <w:sz w:val="24"/>
        </w:rPr>
        <w:t>2. Cenário Macroeconômico Brasileiro (2021-2025)</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2 (Introdução e Dinâmica Macroeconômica)</w:t>
        <w:br/>
      </w:r>
      <w:r>
        <w:rPr>
          <w:rFonts w:ascii="Arial" w:hAnsi="Arial"/>
          <w:b/>
          <w:color w:val="595959"/>
          <w:sz w:val="19"/>
        </w:rPr>
        <w:t xml:space="preserve">🎯 Objetivo: </w:t>
      </w:r>
      <w:r>
        <w:rPr>
          <w:rFonts w:ascii="Arial" w:hAnsi="Arial"/>
          <w:color w:val="595959"/>
          <w:sz w:val="19"/>
        </w:rPr>
        <w:t>Criar o pano de fundo de juros e inflação que justifica a saúde financeira de cada empresa.</w:t>
      </w:r>
    </w:p>
    <w:p>
      <w:pPr>
        <w:jc w:val="both"/>
        <w:spacing w:after="160" w:before="0"/>
        <w:ind w:left="360" w:right="360"/>
      </w:pPr>
      <w:r>
        <w:rPr>
          <w:rFonts w:ascii="Arial" w:hAnsi="Arial"/>
          <w:b/>
          <w:color w:val="1F3864"/>
          <w:sz w:val="26"/>
        </w:rPr>
        <w:t xml:space="preserve">“ </w:t>
      </w:r>
      <w:r>
        <w:rPr>
          <w:rFonts w:ascii="Arial" w:hAnsi="Arial"/>
          <w:color w:val="262626"/>
          <w:sz w:val="22"/>
        </w:rPr>
        <w:t>Antes de entrarmos nos números de cada companhia, precisamos entender sob qual ambiente macroeconômico elas operaram de 2021 a 2025. O mercado brasileiro foi marcado por três grandes forças. Primeiro: Juros Elevados. A taxa básica Selic permaneceu em dois dígitos na maior parte do tempo, encerrando o período na média de 10,75% ao ano. Isso encarece diretamente o custo das dívidas e aumenta a taxa livre de risco exigida pelos acionistas. Segundo: Pressão Inflacionária. O aumento de custos logísticos e de insumos industriais pressionou a renda real e exigiu das empresas varejistas um rigor operacional absurdo para não perder volume. Terceiro: Aversão ao Risco. Diante de tanta volatilidade, o mercado passou a punir severamente empresas com alto endividamento e a premiar aquelas que geram caixa próprio constante. Sob essa tempestade contínua, escolhemos três empresas com perfis diametralmente opostos de capital. A Ambev representa o consumo não cíclico e defensivo. O Assaí atua no varejo alimentar de alto giro e baixas margens, que expandiu via dívidas. E a Americanas representa o varejo discricionário exposto à concorrência digital implacável e que sofreu uma profunda crise de governança.</w:t>
      </w:r>
      <w:r>
        <w:rPr>
          <w:rFonts w:ascii="Arial" w:hAnsi="Arial"/>
          <w:b/>
          <w:color w:val="1F3864"/>
          <w:sz w:val="26"/>
        </w:rPr>
        <w:t xml:space="preserve"> ”</w:t>
      </w:r>
    </w:p>
    <w:p>
      <w:pPr>
        <w:spacing w:after="200" w:before="0"/>
        <w:ind w:left="360"/>
      </w:pPr>
      <w:r>
        <w:rPr>
          <w:rFonts w:ascii="Arial" w:hAnsi="Arial"/>
          <w:b/>
          <w:color w:val="595959"/>
          <w:sz w:val="19"/>
        </w:rPr>
        <w:t xml:space="preserve">💡 Dica de Apresentação: </w:t>
      </w:r>
      <w:r>
        <w:rPr>
          <w:rFonts w:ascii="Arial" w:hAnsi="Arial"/>
          <w:i/>
          <w:color w:val="595959"/>
          <w:sz w:val="19"/>
        </w:rPr>
        <w:t>Destaque as palavras 'Juros Elevados' e 'Aversão ao Risco' para preparar o público para a análise de dívida das empresas.</w:t>
      </w:r>
    </w:p>
    <w:p>
      <w:pPr>
        <w:spacing w:after="120" w:before="240"/>
      </w:pPr>
      <w:r>
        <w:rPr>
          <w:rFonts w:ascii="Arial" w:hAnsi="Arial"/>
          <w:b/>
          <w:color w:val="1F3864"/>
          <w:sz w:val="24"/>
        </w:rPr>
        <w:t>3. Painel Contábil Consolidado (2025)</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9 (Painel Comparativo Contábil)</w:t>
        <w:br/>
      </w:r>
      <w:r>
        <w:rPr>
          <w:rFonts w:ascii="Arial" w:hAnsi="Arial"/>
          <w:b/>
          <w:color w:val="595959"/>
          <w:sz w:val="19"/>
        </w:rPr>
        <w:t xml:space="preserve">🎯 Objetivo: </w:t>
      </w:r>
      <w:r>
        <w:rPr>
          <w:rFonts w:ascii="Arial" w:hAnsi="Arial"/>
          <w:color w:val="595959"/>
          <w:sz w:val="19"/>
        </w:rPr>
        <w:t>Demonstrar a disparidade contábil direta entre as três empresas e introduzir os números da tabela.</w:t>
      </w:r>
    </w:p>
    <w:p>
      <w:pPr>
        <w:jc w:val="both"/>
        <w:spacing w:after="160" w:before="0"/>
        <w:ind w:left="360" w:right="360"/>
      </w:pPr>
      <w:r>
        <w:rPr>
          <w:rFonts w:ascii="Arial" w:hAnsi="Arial"/>
          <w:b/>
          <w:color w:val="1F3864"/>
          <w:sz w:val="26"/>
        </w:rPr>
        <w:t xml:space="preserve">“ </w:t>
      </w:r>
      <w:r>
        <w:rPr>
          <w:rFonts w:ascii="Arial" w:hAnsi="Arial"/>
          <w:color w:val="262626"/>
          <w:sz w:val="22"/>
        </w:rPr>
        <w:t>Neste momento da nossa análise, trazemos um painel contábil consolidado das três companhias referente ao ano de 2025. Essa tabela unifica os dados extraídos das Demonstrações Financeiras Padronizadas (DFPs) e da CVM. O que chama a atenção imediatamente aqui é o abismo em termos de margens e endividamento. Enquanto a Ambev lidera o faturamento nominal com 82,5 bilhões de reais de Receita Líquida e sustenta uma margem de Lucro Operacional (EBIT) robusta de 26,54%, o Assaí possui uma receita gigantesca de 71,5 bilhões, mas trabalha com a margem operacional reduzida típica do atacarejo, de 5,07%. Na ponta mais fraca, a Americanas reporta uma receita encolhida de 12,3 bilhões de reais com margem operacional de 2,69% e prejuízo líquido de 271 milhões. Mas o grande divisor de águas reside na linha de Dívida Líquida. Observem que a Ambev possui caixa líquido positivo de 8,4 bilhões de reais. O Assaí, por sua vez, carrega dívida líquida imensa de 21,3 bilhões de reais, e a Americanas, 5,7 bilhões.</w:t>
      </w:r>
      <w:r>
        <w:rPr>
          <w:rFonts w:ascii="Arial" w:hAnsi="Arial"/>
          <w:b/>
          <w:color w:val="1F3864"/>
          <w:sz w:val="26"/>
        </w:rPr>
        <w:t xml:space="preserve"> ”</w:t>
      </w:r>
    </w:p>
    <w:p>
      <w:pPr>
        <w:spacing w:after="200" w:before="0"/>
        <w:ind w:left="360"/>
      </w:pPr>
      <w:r>
        <w:rPr>
          <w:rFonts w:ascii="Arial" w:hAnsi="Arial"/>
          <w:b/>
          <w:color w:val="595959"/>
          <w:sz w:val="19"/>
        </w:rPr>
        <w:t xml:space="preserve">💡 Dica de Apresentação: </w:t>
      </w:r>
      <w:r>
        <w:rPr>
          <w:rFonts w:ascii="Arial" w:hAnsi="Arial"/>
          <w:i/>
          <w:color w:val="595959"/>
          <w:sz w:val="19"/>
        </w:rPr>
        <w:t>Aponte para a linha de Dívida Líquida no slide projetado e contraste o caixa positivo de ABEV3 com a dívida de R$ 21,3 bi de ASAI3.</w:t>
      </w:r>
    </w:p>
    <w:p>
      <w:pPr>
        <w:spacing w:after="120" w:before="240"/>
      </w:pPr>
      <w:r>
        <w:rPr>
          <w:rFonts w:ascii="Arial" w:hAnsi="Arial"/>
          <w:b/>
          <w:color w:val="1F3864"/>
          <w:sz w:val="24"/>
        </w:rPr>
        <w:t>4. O Conceito de Criação de Valor Econômico (EVA)</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10 (Economic Value Added — Conceito)</w:t>
        <w:br/>
      </w:r>
      <w:r>
        <w:rPr>
          <w:rFonts w:ascii="Arial" w:hAnsi="Arial"/>
          <w:b/>
          <w:color w:val="595959"/>
          <w:sz w:val="19"/>
        </w:rPr>
        <w:t xml:space="preserve">🎯 Objetivo: </w:t>
      </w:r>
      <w:r>
        <w:rPr>
          <w:rFonts w:ascii="Arial" w:hAnsi="Arial"/>
          <w:color w:val="595959"/>
          <w:sz w:val="19"/>
        </w:rPr>
        <w:t>Explicar por que o lucro contábil não é o bastante se não cobrir o custo médio de capital (WACC).</w:t>
      </w:r>
    </w:p>
    <w:p>
      <w:pPr>
        <w:jc w:val="both"/>
        <w:spacing w:after="160" w:before="0"/>
        <w:ind w:left="360" w:right="360"/>
      </w:pPr>
      <w:r>
        <w:rPr>
          <w:rFonts w:ascii="Arial" w:hAnsi="Arial"/>
          <w:b/>
          <w:color w:val="1F3864"/>
          <w:sz w:val="26"/>
        </w:rPr>
        <w:t xml:space="preserve">“ </w:t>
      </w:r>
      <w:r>
        <w:rPr>
          <w:rFonts w:ascii="Arial" w:hAnsi="Arial"/>
          <w:color w:val="262626"/>
          <w:sz w:val="22"/>
        </w:rPr>
        <w:t>Para compreendermos a real saúde financeira dessas empresas, aplicamos a metodologia clássica do Economic Value Added (EVA). Por que fizemos isso? Porque o lucro contábil tradicional que vemos na DRE ignora o custo do capital dos sócios. Uma empresa pode dar lucro contábil, mas se esse lucro for menor do que o retorno que o acionista teria em uma aplicação segura de renda fixa, na prática, a empresa está destruindo riqueza econômica. O EVA soluciona isso: ele deduz o custo médio ponderado de capital (WACC) do retorno real sobre o capital investido (ROIC pós-tax). O resultado dessa conta é o spread econômico. Se o spread for positivo (ROIC maior que WACC), a empresa gera valor líquido real. Se o spread for negativo (ROIC menor que WACC), a empresa destrói riqueza para o acionista.</w:t>
      </w:r>
      <w:r>
        <w:rPr>
          <w:rFonts w:ascii="Arial" w:hAnsi="Arial"/>
          <w:b/>
          <w:color w:val="1F3864"/>
          <w:sz w:val="26"/>
        </w:rPr>
        <w:t xml:space="preserve"> ”</w:t>
      </w:r>
    </w:p>
    <w:p>
      <w:pPr>
        <w:spacing w:after="120" w:before="240"/>
      </w:pPr>
      <w:r>
        <w:rPr>
          <w:rFonts w:ascii="Arial" w:hAnsi="Arial"/>
          <w:b/>
          <w:color w:val="1F3864"/>
          <w:sz w:val="24"/>
        </w:rPr>
        <w:t>5. Painel de Performance e Risco Acionário Comparado (2021-2025)</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11 (Painel de Performance de Mercado)</w:t>
        <w:br/>
      </w:r>
      <w:r>
        <w:rPr>
          <w:rFonts w:ascii="Arial" w:hAnsi="Arial"/>
          <w:b/>
          <w:color w:val="595959"/>
          <w:sz w:val="19"/>
        </w:rPr>
        <w:t xml:space="preserve">🎯 Objetivo: </w:t>
      </w:r>
      <w:r>
        <w:rPr>
          <w:rFonts w:ascii="Arial" w:hAnsi="Arial"/>
          <w:color w:val="595959"/>
          <w:sz w:val="19"/>
        </w:rPr>
        <w:t>Comparar as estatísticas consolidadas de mercado com o índice Ibovespa.</w:t>
      </w:r>
    </w:p>
    <w:p>
      <w:pPr>
        <w:jc w:val="both"/>
        <w:spacing w:after="160" w:before="0"/>
        <w:ind w:left="360" w:right="360"/>
      </w:pPr>
      <w:r>
        <w:rPr>
          <w:rFonts w:ascii="Arial" w:hAnsi="Arial"/>
          <w:b/>
          <w:color w:val="1F3864"/>
          <w:sz w:val="26"/>
        </w:rPr>
        <w:t xml:space="preserve">“ </w:t>
      </w:r>
      <w:r>
        <w:rPr>
          <w:rFonts w:ascii="Arial" w:hAnsi="Arial"/>
          <w:color w:val="262626"/>
          <w:sz w:val="22"/>
        </w:rPr>
        <w:t>A tabela de performance e risco acionário sintetiza o comportamento das cotações diárias ajustadas ao longo de cinco anos, comparando diretamente os tickers ABEV3, ASAI3 e AMER3 com o benchmark do índice Ibovespa. O retorno acumulado do período mostra que o Ibovespa subiu 46,03% no acumulado de 5 anos. Quando olhamos para a volatilidade anualizada, vemos a métrica clássica de desvio-padrão de retornos. O Ibovespa operou com volatilidade controlada de 17,46% ao ano. A Ambev se posicionou como um ativo muito próximo ao índice, com 23,34% de volatilidade. O Assaí, devido às pressões financeiras, viu sua volatilidade subir para 40,45% ao ano. E a Americanas oscilou de forma extrema, com desvio padrão anualizado de 129,45%. Ao analisarmos o Índice Sharpe — que mede o retorno excedente à taxa livre de risco (10,75%) por unidade de volatilidade —, observamos que todas as três ações apresentaram Sharpe negativo no período. Isso significa que, individualmente, nenhuma delas conseguiu bater a renda fixa sem que o investidor corresse riscos significativos no longo prazo.</w:t>
      </w:r>
      <w:r>
        <w:rPr>
          <w:rFonts w:ascii="Arial" w:hAnsi="Arial"/>
          <w:b/>
          <w:color w:val="1F3864"/>
          <w:sz w:val="26"/>
        </w:rPr>
        <w:t xml:space="preserve"> ”</w:t>
      </w:r>
    </w:p>
    <w:p>
      <w:pPr>
        <w:spacing w:after="120" w:before="240"/>
      </w:pPr>
      <w:r>
        <w:rPr>
          <w:rFonts w:ascii="Arial" w:hAnsi="Arial"/>
          <w:b/>
          <w:color w:val="1F3864"/>
          <w:sz w:val="24"/>
        </w:rPr>
        <w:t>6. Análise da Curva Comparativa de Retornos</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12 (Comparativo de Retornos Acumulados)</w:t>
        <w:br/>
      </w:r>
      <w:r>
        <w:rPr>
          <w:rFonts w:ascii="Arial" w:hAnsi="Arial"/>
          <w:b/>
          <w:color w:val="595959"/>
          <w:sz w:val="19"/>
        </w:rPr>
        <w:t xml:space="preserve">🎯 Objetivo: </w:t>
      </w:r>
      <w:r>
        <w:rPr>
          <w:rFonts w:ascii="Arial" w:hAnsi="Arial"/>
          <w:color w:val="595959"/>
          <w:sz w:val="19"/>
        </w:rPr>
        <w:t>Interpretar o gráfico comparativo de retornos acumulados históricos.</w:t>
      </w:r>
    </w:p>
    <w:p>
      <w:pPr>
        <w:jc w:val="both"/>
        <w:spacing w:after="160" w:before="0"/>
        <w:ind w:left="360" w:right="360"/>
      </w:pPr>
      <w:r>
        <w:rPr>
          <w:rFonts w:ascii="Arial" w:hAnsi="Arial"/>
          <w:b/>
          <w:color w:val="1F3864"/>
          <w:sz w:val="26"/>
        </w:rPr>
        <w:t xml:space="preserve">“ </w:t>
      </w:r>
      <w:r>
        <w:rPr>
          <w:rFonts w:ascii="Arial" w:hAnsi="Arial"/>
          <w:color w:val="262626"/>
          <w:sz w:val="22"/>
        </w:rPr>
        <w:t>Este slide traz a representação visual dos retornos acumulados normalizados a partir da base zero de janeiro de 2021. Notem que a linha preta sólida do Ibovespa atua como a âncora do mercado financeiro, registrando uma alta de 46%. A linha azul da Ambev (ABEV3) demonstra um comportamento tipicamente defensivo. Ela não acompanha os ciclos de altas exponenciais da Bolsa, mas protege o capital nas quedas sistêmicas, fechando o período com retorno positivo de 29,28%. Em forte contraste, a linha amarela do Assaí (ASAI3) e a linha vermelha da Americanas (AMER3) se encontram abaixo da linha d'água de retorno zero. O Assaí acumula perda de 47,19%, evidenciando a correção de preços sofrida pela empresa pelo mercado diante do endividamento. E a linha de Americanas exibe o colapso patrimonial absoluto, com perda acumulada de 99,94%, despencando de forma abrupta logo após a revelação das inconsistências de lançamentos em janeiro de 2023.</w:t>
      </w:r>
      <w:r>
        <w:rPr>
          <w:rFonts w:ascii="Arial" w:hAnsi="Arial"/>
          <w:b/>
          <w:color w:val="1F3864"/>
          <w:sz w:val="26"/>
        </w:rPr>
        <w:t xml:space="preserve"> ”</w:t>
      </w:r>
    </w:p>
    <w:p>
      <w:pPr>
        <w:spacing w:after="120" w:before="240"/>
      </w:pPr>
      <w:r>
        <w:rPr>
          <w:rFonts w:ascii="Arial" w:hAnsi="Arial"/>
          <w:b/>
          <w:color w:val="1F3864"/>
          <w:sz w:val="24"/>
        </w:rPr>
        <w:t>7. Beta Sistemático, Correlação e Diversificação de Carteira</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13 (Beta, Correlação e Diversificação)</w:t>
        <w:br/>
      </w:r>
      <w:r>
        <w:rPr>
          <w:rFonts w:ascii="Arial" w:hAnsi="Arial"/>
          <w:b/>
          <w:color w:val="595959"/>
          <w:sz w:val="19"/>
        </w:rPr>
        <w:t xml:space="preserve">🎯 Objetivo: </w:t>
      </w:r>
      <w:r>
        <w:rPr>
          <w:rFonts w:ascii="Arial" w:hAnsi="Arial"/>
          <w:color w:val="595959"/>
          <w:sz w:val="19"/>
        </w:rPr>
        <w:t>Explicar a matriz de correlação cruzada e o risco sistemático (Beta).</w:t>
      </w:r>
    </w:p>
    <w:p>
      <w:pPr>
        <w:jc w:val="both"/>
        <w:spacing w:after="160" w:before="0"/>
        <w:ind w:left="360" w:right="360"/>
      </w:pPr>
      <w:r>
        <w:rPr>
          <w:rFonts w:ascii="Arial" w:hAnsi="Arial"/>
          <w:b/>
          <w:color w:val="1F3864"/>
          <w:sz w:val="26"/>
        </w:rPr>
        <w:t xml:space="preserve">“ </w:t>
      </w:r>
      <w:r>
        <w:rPr>
          <w:rFonts w:ascii="Arial" w:hAnsi="Arial"/>
          <w:color w:val="262626"/>
          <w:sz w:val="22"/>
        </w:rPr>
        <w:t>Nesta seção do estudo, analisamos o risco sob a ótica da teoria moderna de carteiras de Harry Markowitz e do modelo CAPM de William Sharpe. Para isso, geramos a matriz de correlação de retornos diários e calculamos o coeficiente Beta sistemático contra o Ibovespa. O Beta mede a sensibilidade de um ativo às variações de mercado. O Ibovespa possui Beta padrão de 1,0. A matriz de correlação revela informações ricas para a montagem de portfólios. Reparem que a correlação da Ambev com o Ibovespa é de 0,48, e com a Americanas é de apenas 0,08. O Assaí tem correlação de 0,47 com o Ibovespa. Essas correlações moderadas a baixas provam que, em períodos normais, esses ativos reagem a fatores fundamentalistas específicos de microeconomia, e não apenas ao macro. Para um gestor de recursos, a Ambev surge como o principal diversificador strategic do grupo devido ao seu Beta de 0,64 e baixa correlação sistemática com os demais ativos.</w:t>
      </w:r>
      <w:r>
        <w:rPr>
          <w:rFonts w:ascii="Arial" w:hAnsi="Arial"/>
          <w:b/>
          <w:color w:val="1F3864"/>
          <w:sz w:val="26"/>
        </w:rPr>
        <w:t xml:space="preserve"> ”</w:t>
      </w:r>
    </w:p>
    <w:p>
      <w:pPr>
        <w:spacing w:after="120" w:before="240"/>
      </w:pPr>
      <w:r>
        <w:rPr>
          <w:rFonts w:ascii="Arial" w:hAnsi="Arial"/>
          <w:b/>
          <w:color w:val="1F3864"/>
          <w:sz w:val="24"/>
        </w:rPr>
        <w:t>8. A Simulação de Monte Carlo: Teoria e Parâmetros</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14 (Simulação de Monte Carlo — Resultados)</w:t>
        <w:br/>
      </w:r>
      <w:r>
        <w:rPr>
          <w:rFonts w:ascii="Arial" w:hAnsi="Arial"/>
          <w:b/>
          <w:color w:val="595959"/>
          <w:sz w:val="19"/>
        </w:rPr>
        <w:t xml:space="preserve">🎯 Objetivo: </w:t>
      </w:r>
      <w:r>
        <w:rPr>
          <w:rFonts w:ascii="Arial" w:hAnsi="Arial"/>
          <w:color w:val="595959"/>
          <w:sz w:val="19"/>
        </w:rPr>
        <w:t>Apresentar a modelagem estocástica e a tabela de projeção de preços para 2026.</w:t>
      </w:r>
    </w:p>
    <w:p>
      <w:pPr>
        <w:jc w:val="both"/>
        <w:spacing w:after="160" w:before="0"/>
        <w:ind w:left="360" w:right="360"/>
      </w:pPr>
      <w:r>
        <w:rPr>
          <w:rFonts w:ascii="Arial" w:hAnsi="Arial"/>
          <w:b/>
          <w:color w:val="1F3864"/>
          <w:sz w:val="26"/>
        </w:rPr>
        <w:t xml:space="preserve">“ </w:t>
      </w:r>
      <w:r>
        <w:rPr>
          <w:rFonts w:ascii="Arial" w:hAnsi="Arial"/>
          <w:color w:val="262626"/>
          <w:sz w:val="22"/>
        </w:rPr>
        <w:t>Para complementar a análise histórica do passado, desenvolvemos uma ferramenta de projeção para o futuro. Rodamos uma Simulação de Monte Carlo utilizando o modelo de Movimento Browniano Geométrico (MBG). Como essa simulação funciona? Ela calcula o retorno diário esperado das ações (a média ou drift histórico, representado pela letra grega mu) e o desvio padrão diário dos preços (a volatilidade, representada pela letra grega sigma) ao longo dos últimos 5 anos. A partir desses parâmetros, a fórmula gera caminhos estocásticos onde o preço de amanhã depende do preço de hoje mais uma componente de tendência histórica e um choque aleatório simulado baseado em uma distribuição normal padrão. Nós projetamos 10.000 caminhos possíveis para cada uma das três ações ao longo dos 252 dias úteis de 2026. Com esses 10.000 preços finais em dezembro de 2026, calculamos os percentis estatísticos e extraímos o VaR (Value at Risk) a 95% de confiança. O VaR nos diz qual a perda máxima esperada para o ativo no pior cenário de 5% de probabilidade.</w:t>
      </w:r>
      <w:r>
        <w:rPr>
          <w:rFonts w:ascii="Arial" w:hAnsi="Arial"/>
          <w:b/>
          <w:color w:val="1F3864"/>
          <w:sz w:val="26"/>
        </w:rPr>
        <w:t xml:space="preserve"> ”</w:t>
      </w:r>
    </w:p>
    <w:p>
      <w:pPr>
        <w:spacing w:after="120" w:before="240"/>
      </w:pPr>
      <w:r>
        <w:rPr>
          <w:rFonts w:ascii="Arial" w:hAnsi="Arial"/>
          <w:b/>
          <w:color w:val="1F3864"/>
          <w:sz w:val="24"/>
        </w:rPr>
        <w:t>9. Diagnóstico Estocástico Comparado (Os Funis de Projeção)</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15 (Simulação de Monte Carlo — Funis)</w:t>
        <w:br/>
      </w:r>
      <w:r>
        <w:rPr>
          <w:rFonts w:ascii="Arial" w:hAnsi="Arial"/>
          <w:b/>
          <w:color w:val="595959"/>
          <w:sz w:val="19"/>
        </w:rPr>
        <w:t xml:space="preserve">🎯 Objetivo: </w:t>
      </w:r>
      <w:r>
        <w:rPr>
          <w:rFonts w:ascii="Arial" w:hAnsi="Arial"/>
          <w:color w:val="595959"/>
          <w:sz w:val="19"/>
        </w:rPr>
        <w:t>Análise conceitual e visual dos três funis projetados em relação à volatilidade.</w:t>
      </w:r>
    </w:p>
    <w:p>
      <w:pPr>
        <w:jc w:val="both"/>
        <w:spacing w:after="160" w:before="0"/>
        <w:ind w:left="360" w:right="360"/>
      </w:pPr>
      <w:r>
        <w:rPr>
          <w:rFonts w:ascii="Arial" w:hAnsi="Arial"/>
          <w:b/>
          <w:color w:val="1F3864"/>
          <w:sz w:val="26"/>
        </w:rPr>
        <w:t xml:space="preserve">“ </w:t>
      </w:r>
      <w:r>
        <w:rPr>
          <w:rFonts w:ascii="Arial" w:hAnsi="Arial"/>
          <w:color w:val="262626"/>
          <w:sz w:val="22"/>
        </w:rPr>
        <w:t>Os gráficos exibidos no slide representam os 'funis de projeção estocástica' resultantes da simulação de Monte Carlo. Cada gráfico mostra a dispersão das cotações em torno da mediana estatística. Visualmente, a largura de cada funil é o reflexo direto da volatilidade histórica de cada empresa. O funil da Ambev é estreito, simétrico e ascendente. Isso se deve à baixa volatilidade anualizada de 23,69% calibrada no script. A projeção de dispersão é contida, resultando em um VaR controlado de -30,27%. O funil da Americanas é bizarro, extremamente disperso e com forte viés negativo. A volatilidade absurda de 127,89% a.a. expande as caudas da distribuição de tal forma que a grande maioria dos 10.000 caminhos colapsa para próximo de zero, resultando em probabilidade de perda de 88,6%. O funil do Assaí exibe um comportamento intermediário. Ele se alarga significativamente, refletindo sua volatilidade de 40,45% a.a., com clara inclinação descendente da linha mediana que aponta para um ano de 2026 de correção, acumulando 63% de probabilidade de perda.</w:t>
      </w:r>
      <w:r>
        <w:rPr>
          <w:rFonts w:ascii="Arial" w:hAnsi="Arial"/>
          <w:b/>
          <w:color w:val="1F3864"/>
          <w:sz w:val="26"/>
        </w:rPr>
        <w:t xml:space="preserve"> ”</w:t>
      </w:r>
    </w:p>
    <w:p>
      <w:pPr>
        <w:spacing w:after="120" w:before="240"/>
      </w:pPr>
      <w:r>
        <w:rPr>
          <w:rFonts w:ascii="Arial" w:hAnsi="Arial"/>
          <w:b/>
          <w:color w:val="1F3864"/>
          <w:sz w:val="24"/>
        </w:rPr>
        <w:t>10. Conclusões Gerais e Recomendações de Investimento</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16 (Conclusões e Recomendações)</w:t>
        <w:br/>
      </w:r>
      <w:r>
        <w:rPr>
          <w:rFonts w:ascii="Arial" w:hAnsi="Arial"/>
          <w:b/>
          <w:color w:val="595959"/>
          <w:sz w:val="19"/>
        </w:rPr>
        <w:t xml:space="preserve">🎯 Objetivo: </w:t>
      </w:r>
      <w:r>
        <w:rPr>
          <w:rFonts w:ascii="Arial" w:hAnsi="Arial"/>
          <w:color w:val="595959"/>
          <w:sz w:val="19"/>
        </w:rPr>
        <w:t>Encerrar a apresentação com as recomendações de alocação de portfólio.</w:t>
      </w:r>
    </w:p>
    <w:p>
      <w:pPr>
        <w:jc w:val="both"/>
        <w:spacing w:after="160" w:before="0"/>
        <w:ind w:left="360" w:right="360"/>
      </w:pPr>
      <w:r>
        <w:rPr>
          <w:rFonts w:ascii="Arial" w:hAnsi="Arial"/>
          <w:b/>
          <w:color w:val="1F3864"/>
          <w:sz w:val="26"/>
        </w:rPr>
        <w:t xml:space="preserve">“ </w:t>
      </w:r>
      <w:r>
        <w:rPr>
          <w:rFonts w:ascii="Arial" w:hAnsi="Arial"/>
          <w:color w:val="262626"/>
          <w:sz w:val="22"/>
        </w:rPr>
        <w:t>Para finalizar o nosso estudo, sintetizamos quatro grandes lições práticas deste projeto multicritério. Primeira: A saúde contábil interna é o verdadeiro escudo do acionista. A Ambev prova que ter caixa líquido abundante e spread ROIC-WACC positivo protege o investidor contra drawdowns brutais na Bolsa. Segunda: A alavancagem financeira é uma faca de dois gumes. O Assaí tem um modelo de atacarejo excelente operacionalmente, mas a decisão de expandir agressivamente via dívidas bancárias sob juros de dois dígitos destruiu seu valor econômico residual (EVA negativo) e custou metade de seu valor de mercado. Terceira: Risco administrativo e governança são binários. A fraude de Americanas eliminou o patrimônio de forma permanente e irreversível, o que o Monte Carlo aponta como uma chance remota de recuperação acionária. Quarta: O Monte Carlo e o VaR estatístico são ferramentas indispensáveis de precificação de risco que devem caminhar de mãos dadas com a análise fundamentalista tradicional. Com isso, nossa recomendação é clara: priorizar alocação em ativos com spreads econômicos positivos e baixo endividamento em ciclos de juros altos, utilizando a volatilidade histórica para calcular a margem de segurança necessária no portfólio.</w:t>
      </w:r>
      <w:r>
        <w:rPr>
          <w:rFonts w:ascii="Arial" w:hAnsi="Arial"/>
          <w:b/>
          <w:color w:val="1F3864"/>
          <w:sz w:val="26"/>
        </w:rPr>
        <w:t xml:space="preserve"> ”</w:t>
      </w:r>
    </w:p>
    <w:p>
      <w:r>
        <w:rPr>
          <w:rFonts w:ascii="Arial" w:hAnsi="Arial"/>
          <w:sz w:val="22"/>
        </w:rPr>
      </w:r>
    </w:p>
    <w:p>
      <w:pPr>
        <w:shd w:fill="1F3864" w:color="1F3864"/>
        <w:spacing w:after="160" w:before="360"/>
        <w:ind w:left="200" w:right="200"/>
      </w:pPr>
      <w:r>
        <w:rPr>
          <w:rFonts w:ascii="Arial" w:hAnsi="Arial"/>
          <w:b/>
          <w:color w:val="FFFFFF"/>
          <w:sz w:val="26"/>
        </w:rPr>
        <w:t>Seção 2: Bloco Temático — Ambev S.A. (ABEV3)</w:t>
      </w:r>
    </w:p>
    <w:p>
      <w:pPr>
        <w:spacing w:after="120" w:before="240"/>
      </w:pPr>
      <w:r>
        <w:rPr>
          <w:rFonts w:ascii="Arial" w:hAnsi="Arial"/>
          <w:b/>
          <w:color w:val="1F3864"/>
          <w:sz w:val="24"/>
        </w:rPr>
        <w:t>1. Perfil Corporativo e Modelo de Negócios</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3 (Perfil Corporativo)</w:t>
        <w:br/>
      </w:r>
      <w:r>
        <w:rPr>
          <w:rFonts w:ascii="Arial" w:hAnsi="Arial"/>
          <w:b/>
          <w:color w:val="595959"/>
          <w:sz w:val="19"/>
        </w:rPr>
        <w:t xml:space="preserve">🎯 Objetivo: </w:t>
      </w:r>
      <w:r>
        <w:rPr>
          <w:rFonts w:ascii="Arial" w:hAnsi="Arial"/>
          <w:color w:val="595959"/>
          <w:sz w:val="19"/>
        </w:rPr>
        <w:t>Destacar a liderança de mercado e a capilaridade da distribuição da Ambev.</w:t>
      </w:r>
    </w:p>
    <w:p>
      <w:pPr>
        <w:jc w:val="both"/>
        <w:spacing w:after="160" w:before="0"/>
        <w:ind w:left="360" w:right="360"/>
      </w:pPr>
      <w:r>
        <w:rPr>
          <w:rFonts w:ascii="Arial" w:hAnsi="Arial"/>
          <w:b/>
          <w:color w:val="1F3864"/>
          <w:sz w:val="26"/>
        </w:rPr>
        <w:t xml:space="preserve">“ </w:t>
      </w:r>
      <w:r>
        <w:rPr>
          <w:rFonts w:ascii="Arial" w:hAnsi="Arial"/>
          <w:color w:val="262626"/>
          <w:sz w:val="22"/>
        </w:rPr>
        <w:t>Vamos focar agora na análise detalhada da Ambev, sob o ticker ABEV3. A Ambev é a maior fabricante de cervejas e bebidas da América Latina, com uma participação de mercado dominante no Brasil. O grande trunfo da companhia reside no seu modelo de negócios baseado em escala e capilaridade. A empresa possui uma rede logística própria e exclusiva de distribuição física que atinge quase 100% dos bares, restaurantes e pontos de venda de bebidas do território nacional. Isso cria uma barreira de entrada intransponível para concorrentes de menor porte. Trata-se de um negócio clássico de consumo defensivo (ou não cíclico): mesmo em cenários de recessão econômica, a demanda por bebidas é altamente estável, o que confere à empresa uma fantástica previsibilidade de faturamento operacional de curto e longo prazo.</w:t>
      </w:r>
      <w:r>
        <w:rPr>
          <w:rFonts w:ascii="Arial" w:hAnsi="Arial"/>
          <w:b/>
          <w:color w:val="1F3864"/>
          <w:sz w:val="26"/>
        </w:rPr>
        <w:t xml:space="preserve"> ”</w:t>
      </w:r>
    </w:p>
    <w:p>
      <w:pPr>
        <w:spacing w:after="120" w:before="240"/>
      </w:pPr>
      <w:r>
        <w:rPr>
          <w:rFonts w:ascii="Arial" w:hAnsi="Arial"/>
          <w:b/>
          <w:color w:val="1F3864"/>
          <w:sz w:val="24"/>
        </w:rPr>
        <w:t>2. Estratégia de Mercado e Desafios (Premiumização e Digital)</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4 (Atualidades e Estratégia + Gráfico)</w:t>
        <w:br/>
      </w:r>
      <w:r>
        <w:rPr>
          <w:rFonts w:ascii="Arial" w:hAnsi="Arial"/>
          <w:b/>
          <w:color w:val="595959"/>
          <w:sz w:val="19"/>
        </w:rPr>
        <w:t xml:space="preserve">🎯 Objetivo: </w:t>
      </w:r>
      <w:r>
        <w:rPr>
          <w:rFonts w:ascii="Arial" w:hAnsi="Arial"/>
          <w:color w:val="595959"/>
          <w:sz w:val="19"/>
        </w:rPr>
        <w:t>Analisar as novas frentes da Ambev e os gráficos de preços históricos.</w:t>
      </w:r>
    </w:p>
    <w:p>
      <w:pPr>
        <w:jc w:val="both"/>
        <w:spacing w:after="160" w:before="0"/>
        <w:ind w:left="360" w:right="360"/>
      </w:pPr>
      <w:r>
        <w:rPr>
          <w:rFonts w:ascii="Arial" w:hAnsi="Arial"/>
          <w:b/>
          <w:color w:val="1F3864"/>
          <w:sz w:val="26"/>
        </w:rPr>
        <w:t xml:space="preserve">“ </w:t>
      </w:r>
      <w:r>
        <w:rPr>
          <w:rFonts w:ascii="Arial" w:hAnsi="Arial"/>
          <w:color w:val="262626"/>
          <w:sz w:val="22"/>
        </w:rPr>
        <w:t>Atualmente, a estratégia da Ambev está apoiada em dois grandes motores de crescimento. O primeiro é a Premiumização do portfólio. A empresa tem focado recursos de marketing e produção nas marcas de cervejas premium e super-premium, como Spaten, Corona e Stella Artois. Essa estratégia visa elevar o preço médio por hectolitro vendido e expandir a margem bruta de lucros. O segundo pilar é a digitalização. A Ambev criou o ecossistema digital 'Bees', uma plataforma B2B que revolucionou a forma como pequenos comerciantes fazem pedidos de bebidas (automatizando a cadeia e reduzindo custos), e o 'Zé Delivery', canal de delivery rápido que aproxima a marca diretamente do consumidor final. Como principais fatores de risco, destacam-se: as discussões sobre a Reforma Tributária, que pode criar impostos seletivos ('impostos do pecado') sobre bebidas alcoólicas, e potenciais mudanças regulatórias na dedutibilidade do Juros sobre Capital Próprio (JCP), que poderiam impactar a taxa de impostos efetiva da companhia no futuro.</w:t>
      </w:r>
      <w:r>
        <w:rPr>
          <w:rFonts w:ascii="Arial" w:hAnsi="Arial"/>
          <w:b/>
          <w:color w:val="1F3864"/>
          <w:sz w:val="26"/>
        </w:rPr>
        <w:t xml:space="preserve"> ”</w:t>
      </w:r>
    </w:p>
    <w:p>
      <w:pPr>
        <w:spacing w:after="120" w:before="240"/>
      </w:pPr>
      <w:r>
        <w:rPr>
          <w:rFonts w:ascii="Arial" w:hAnsi="Arial"/>
          <w:b/>
          <w:color w:val="1F3864"/>
          <w:sz w:val="24"/>
        </w:rPr>
        <w:t>3. Raio-X Contábil e de Balanço da Ambev (2025)</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9 (Painel Comparativo Contábil)</w:t>
        <w:br/>
      </w:r>
      <w:r>
        <w:rPr>
          <w:rFonts w:ascii="Arial" w:hAnsi="Arial"/>
          <w:b/>
          <w:color w:val="595959"/>
          <w:sz w:val="19"/>
        </w:rPr>
        <w:t xml:space="preserve">🎯 Objetivo: </w:t>
      </w:r>
      <w:r>
        <w:rPr>
          <w:rFonts w:ascii="Arial" w:hAnsi="Arial"/>
          <w:color w:val="595959"/>
          <w:sz w:val="19"/>
        </w:rPr>
        <w:t>Demonstrar a solidez dos balanços e das margens de ABEV3 em 2025.</w:t>
      </w:r>
    </w:p>
    <w:p>
      <w:pPr>
        <w:jc w:val="both"/>
        <w:spacing w:after="160" w:before="0"/>
        <w:ind w:left="360" w:right="360"/>
      </w:pPr>
      <w:r>
        <w:rPr>
          <w:rFonts w:ascii="Arial" w:hAnsi="Arial"/>
          <w:b/>
          <w:color w:val="1F3864"/>
          <w:sz w:val="26"/>
        </w:rPr>
        <w:t xml:space="preserve">“ </w:t>
      </w:r>
      <w:r>
        <w:rPr>
          <w:rFonts w:ascii="Arial" w:hAnsi="Arial"/>
          <w:color w:val="262626"/>
          <w:sz w:val="22"/>
        </w:rPr>
        <w:t>Ao abrirmos as demonstrações contábeis de 2025 da Ambev, os números comprovam sua posição de dominância financeira. A Receita Líquida atingiu 82,5 bilhões de reais, convertendo-se em um Lucro Bruto expressivo de 42,4 bilhões de reais, o que representa uma margem bruta elevada de 51,42%. Isso prova que mais de metade do faturamento líquido é retido após a dedução do custo de produção direta. O Lucro Operacional (EBIT) totalizou 21,9 bilhões de reais, gerando uma margem EBIT excelente de 26,54% — um patamar de eficiência operacional muito superior à média do varejo em geral. O Lucro Líquido consolidado foi de 14,9 bilhões de reais (margem líquida final de 18,12%). No Balanço Patrimonial, o Patrimônio Líquido de 82,5 bilhões de reais é suportado por uma estrutura de capital limpíssima: a empresa encerrou 2025 com R$ 8.440 milhões de Caixa Líquido positivo. Em termos práticos, a Ambev tem recursos em caixa suficientes para pagar todas as suas obrigações financeiras imediatas e ainda restam mais de 8,4 bilhões livres. Isso a torna imune a flutuações e juros altos.</w:t>
      </w:r>
      <w:r>
        <w:rPr>
          <w:rFonts w:ascii="Arial" w:hAnsi="Arial"/>
          <w:b/>
          <w:color w:val="1F3864"/>
          <w:sz w:val="26"/>
        </w:rPr>
        <w:t xml:space="preserve"> ”</w:t>
      </w:r>
    </w:p>
    <w:p>
      <w:pPr>
        <w:spacing w:after="120" w:before="240"/>
      </w:pPr>
      <w:r>
        <w:rPr>
          <w:rFonts w:ascii="Arial" w:hAnsi="Arial"/>
          <w:b/>
          <w:color w:val="1F3864"/>
          <w:sz w:val="24"/>
        </w:rPr>
        <w:t>4. Criação de Valor Econômico (EVA) da Ambev</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10 (Economic Value Added — Ambev)</w:t>
        <w:br/>
      </w:r>
      <w:r>
        <w:rPr>
          <w:rFonts w:ascii="Arial" w:hAnsi="Arial"/>
          <w:b/>
          <w:color w:val="595959"/>
          <w:sz w:val="19"/>
        </w:rPr>
        <w:t xml:space="preserve">🎯 Objetivo: </w:t>
      </w:r>
      <w:r>
        <w:rPr>
          <w:rFonts w:ascii="Arial" w:hAnsi="Arial"/>
          <w:color w:val="595959"/>
          <w:sz w:val="19"/>
        </w:rPr>
        <w:t>Demonstrar a geração de riqueza e o spread ROIC-WACC positivo da Ambev.</w:t>
      </w:r>
    </w:p>
    <w:p>
      <w:pPr>
        <w:jc w:val="both"/>
        <w:spacing w:after="160" w:before="0"/>
        <w:ind w:left="360" w:right="360"/>
      </w:pPr>
      <w:r>
        <w:rPr>
          <w:rFonts w:ascii="Arial" w:hAnsi="Arial"/>
          <w:b/>
          <w:color w:val="1F3864"/>
          <w:sz w:val="26"/>
        </w:rPr>
        <w:t xml:space="preserve">“ </w:t>
      </w:r>
      <w:r>
        <w:rPr>
          <w:rFonts w:ascii="Arial" w:hAnsi="Arial"/>
          <w:color w:val="262626"/>
          <w:sz w:val="22"/>
        </w:rPr>
        <w:t>Sob a ótica de geração de riqueza econômica, a Ambev é a única das três empresas analisadas que gerou riqueza líquida real em 2025. A companhia apresentou um Retorno sobre o Capital Investido (ROIC pós-tax) de 19,24%. O Custo Médio Ponderado de Capital (WACC) calculado para a empresa foi de 14,08%. O spread contábil pós-tax foi, portanto, de +5,16% positivo. Ao multiplicarmos esse spread positivo pela base de Capital Investido da empresa, chegamos a um EVA (Economic Value Added) positivo de mais de 4,1 bilhões de reais (precisamente R$ 4.148 milhões). Esse número expressa a riqueza excedente que a diretoria da Ambev gerou para o bolso de seus acionistas em 2025 após remunerar tanto o capital de terceiros quanto o capital próprio à taxa de retorno exigida pelo mercado de capitais.</w:t>
      </w:r>
      <w:r>
        <w:rPr>
          <w:rFonts w:ascii="Arial" w:hAnsi="Arial"/>
          <w:b/>
          <w:color w:val="1F3864"/>
          <w:sz w:val="26"/>
        </w:rPr>
        <w:t xml:space="preserve"> ”</w:t>
      </w:r>
    </w:p>
    <w:p>
      <w:pPr>
        <w:spacing w:after="120" w:before="240"/>
      </w:pPr>
      <w:r>
        <w:rPr>
          <w:rFonts w:ascii="Arial" w:hAnsi="Arial"/>
          <w:b/>
          <w:color w:val="1F3864"/>
          <w:sz w:val="24"/>
        </w:rPr>
        <w:t>5. Performance de Mercado e Risco das Ações da Ambev</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11 (Painel de Performance) / Slide 12 (Gráfico)</w:t>
        <w:br/>
      </w:r>
      <w:r>
        <w:rPr>
          <w:rFonts w:ascii="Arial" w:hAnsi="Arial"/>
          <w:b/>
          <w:color w:val="595959"/>
          <w:sz w:val="19"/>
        </w:rPr>
        <w:t xml:space="preserve">🎯 Objetivo: </w:t>
      </w:r>
      <w:r>
        <w:rPr>
          <w:rFonts w:ascii="Arial" w:hAnsi="Arial"/>
          <w:color w:val="595959"/>
          <w:sz w:val="19"/>
        </w:rPr>
        <w:t>Explicar o retorno acumulado e a baixa volatilidade histórica da Ambev.</w:t>
      </w:r>
    </w:p>
    <w:p>
      <w:pPr>
        <w:jc w:val="both"/>
        <w:spacing w:after="160" w:before="0"/>
        <w:ind w:left="360" w:right="360"/>
      </w:pPr>
      <w:r>
        <w:rPr>
          <w:rFonts w:ascii="Arial" w:hAnsi="Arial"/>
          <w:b/>
          <w:color w:val="1F3864"/>
          <w:sz w:val="26"/>
        </w:rPr>
        <w:t xml:space="preserve">“ </w:t>
      </w:r>
      <w:r>
        <w:rPr>
          <w:rFonts w:ascii="Arial" w:hAnsi="Arial"/>
          <w:color w:val="262626"/>
          <w:sz w:val="22"/>
        </w:rPr>
        <w:t>Ao avaliarmos as cotações diárias de ABEV3 ao longo dos 5 anos, percebemos que o comportamento na Bolsa reflete com precisão seus fundamentos contábeis. A ação acumulou retorno de 29,28% no período de 5 anos (CAGR anualizado de 5,27%). Embora tenha ficado abaixo dos 46% do Ibovespa, ela cumpriu perfeitamente o papel de ativo de proteção. A volatilidade anualizada de ABEV3 foi de apenas 23,34% — um patamar bastante controlado e muito inferior à dos pares do varejo. Seu Beta sistemático de 0,6430 comprova matematicamente o caráter defensivo do ativo: para cada 1% de variação no Ibovespa, a ação da Ambev oscila em média apenas 0,64%. Além disso, o Máximo Drawdown (pior queda histórica de pico a vale) foi de -36,18%, que ocorreu de forma suave ao longo de trimestres, mostrando que o ativo não sofre com pânicos repentinos de liquidez.</w:t>
      </w:r>
      <w:r>
        <w:rPr>
          <w:rFonts w:ascii="Arial" w:hAnsi="Arial"/>
          <w:b/>
          <w:color w:val="1F3864"/>
          <w:sz w:val="26"/>
        </w:rPr>
        <w:t xml:space="preserve"> ”</w:t>
      </w:r>
    </w:p>
    <w:p>
      <w:pPr>
        <w:spacing w:after="120" w:before="240"/>
      </w:pPr>
      <w:r>
        <w:rPr>
          <w:rFonts w:ascii="Arial" w:hAnsi="Arial"/>
          <w:b/>
          <w:color w:val="1F3864"/>
          <w:sz w:val="24"/>
        </w:rPr>
        <w:t>6. Projeções de Monte Carlo (2026) para ABEV3</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14 (Tabela MC) / Slide 15 (Funil MC)</w:t>
        <w:br/>
      </w:r>
      <w:r>
        <w:rPr>
          <w:rFonts w:ascii="Arial" w:hAnsi="Arial"/>
          <w:b/>
          <w:color w:val="595959"/>
          <w:sz w:val="19"/>
        </w:rPr>
        <w:t xml:space="preserve">🎯 Objetivo: </w:t>
      </w:r>
      <w:r>
        <w:rPr>
          <w:rFonts w:ascii="Arial" w:hAnsi="Arial"/>
          <w:color w:val="595959"/>
          <w:sz w:val="19"/>
        </w:rPr>
        <w:t>Analisar as projeções estocásticas e o VaR da Ambev.</w:t>
      </w:r>
    </w:p>
    <w:p>
      <w:pPr>
        <w:jc w:val="both"/>
        <w:spacing w:after="160" w:before="0"/>
        <w:ind w:left="360" w:right="360"/>
      </w:pPr>
      <w:r>
        <w:rPr>
          <w:rFonts w:ascii="Arial" w:hAnsi="Arial"/>
          <w:b/>
          <w:color w:val="1F3864"/>
          <w:sz w:val="26"/>
        </w:rPr>
        <w:t xml:space="preserve">“ </w:t>
      </w:r>
      <w:r>
        <w:rPr>
          <w:rFonts w:ascii="Arial" w:hAnsi="Arial"/>
          <w:color w:val="262626"/>
          <w:sz w:val="22"/>
        </w:rPr>
        <w:t>Quando projetamos o ano de 2026 para a Ambev via Simulação de Monte Carlo, os parâmetros estatísticos diários (mu de 0,000227 e volatilidade diária de 0,014925) resultaram no funil de preços mais estreito e controlado do grupo de estudo. Partindo do último preço de fechamento de R$ 13,86 em dezembro de 2025, a mediana projetada de 10.000 caminhos para dezembro de 2026 é de R$ 14,26, o que aponta para um crescimento estável esperado de +2,88%. A dispersão de risco é bastante contida: no pior cenário simulado (percentil de 5%), a ação cairia para R$ 9,67. Já no melhor cenário simulado (percentil de 95%), ela subiria para R$ 20,99. Isso resulta em um Value at Risk (VaR) de -30,27% de perda máxima projetada com 95% de confiança estatística. Além disso, a probabilidade da ação registrar qualquer perda nominal ao fim de 2026 é a menor do grupo: apenas 45,1%. O modelo estocástico reconhece a robustez de ABEV3 e aponta para um perfil de risco-retorno equilibrado.</w:t>
      </w:r>
      <w:r>
        <w:rPr>
          <w:rFonts w:ascii="Arial" w:hAnsi="Arial"/>
          <w:b/>
          <w:color w:val="1F3864"/>
          <w:sz w:val="26"/>
        </w:rPr>
        <w:t xml:space="preserve"> ”</w:t>
      </w:r>
    </w:p>
    <w:p>
      <w:r>
        <w:rPr>
          <w:rFonts w:ascii="Arial" w:hAnsi="Arial"/>
          <w:sz w:val="22"/>
        </w:rPr>
      </w:r>
    </w:p>
    <w:p>
      <w:pPr>
        <w:shd w:fill="1F3864" w:color="1F3864"/>
        <w:spacing w:after="160" w:before="360"/>
        <w:ind w:left="200" w:right="200"/>
      </w:pPr>
      <w:r>
        <w:rPr>
          <w:rFonts w:ascii="Arial" w:hAnsi="Arial"/>
          <w:b/>
          <w:color w:val="FFFFFF"/>
          <w:sz w:val="26"/>
        </w:rPr>
        <w:t>Seção 3: Bloco Temático — Assaí Atacadista (ASAI3)</w:t>
      </w:r>
    </w:p>
    <w:p>
      <w:pPr>
        <w:spacing w:after="120" w:before="240"/>
      </w:pPr>
      <w:r>
        <w:rPr>
          <w:rFonts w:ascii="Arial" w:hAnsi="Arial"/>
          <w:b/>
          <w:color w:val="1F3864"/>
          <w:sz w:val="24"/>
        </w:rPr>
        <w:t>1. Perfil Corporativo e Modelo de Negócios</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5 (Perfil Corporativo)</w:t>
        <w:br/>
      </w:r>
      <w:r>
        <w:rPr>
          <w:rFonts w:ascii="Arial" w:hAnsi="Arial"/>
          <w:b/>
          <w:color w:val="595959"/>
          <w:sz w:val="19"/>
        </w:rPr>
        <w:t xml:space="preserve">🎯 Objetivo: </w:t>
      </w:r>
      <w:r>
        <w:rPr>
          <w:rFonts w:ascii="Arial" w:hAnsi="Arial"/>
          <w:color w:val="595959"/>
          <w:sz w:val="19"/>
        </w:rPr>
        <w:t>Destacar a dinâmica de alto giro e baixas margens do modelo de atacarejo do Assaí.</w:t>
      </w:r>
    </w:p>
    <w:p>
      <w:pPr>
        <w:jc w:val="both"/>
        <w:spacing w:after="160" w:before="0"/>
        <w:ind w:left="360" w:right="360"/>
      </w:pPr>
      <w:r>
        <w:rPr>
          <w:rFonts w:ascii="Arial" w:hAnsi="Arial"/>
          <w:b/>
          <w:color w:val="1F3864"/>
          <w:sz w:val="26"/>
        </w:rPr>
        <w:t xml:space="preserve">“ </w:t>
      </w:r>
      <w:r>
        <w:rPr>
          <w:rFonts w:ascii="Arial" w:hAnsi="Arial"/>
          <w:color w:val="262626"/>
          <w:sz w:val="22"/>
        </w:rPr>
        <w:t>Iniciamos agora a análise específica do Assaí Atacadista, sob o ticker ASAI3. O Assaí atua no segmento de atacarejo, conhecido como Cash &amp; Carry, que atende tanto clientes institucionais — como pequenos comércios, transformadores de alimentos e donos de restaurantes — quanto o consumidor final que busca economia em compras de grandes volumes. O modelo de negócios do atacarejo é baseado em margens operacionais muito estreitas e altíssimo giro de estoque. A vantagem competitiva do Assaí reside na sua capacidade de negociar volumes imensos com as indústrias fornecedoras e repassar essa economia em preços baixos na gôndola. Em termos de histórico societário, o Assaí pertencia ao Grupo Pão de Açúcar (GPA) e realizou um bem-sucedido processo de spin-off (cisão corporativa pura) concluído em 2021, tornando-se uma corporação pulverizada e focada exclusivamente em atacarejo alimentar.</w:t>
      </w:r>
      <w:r>
        <w:rPr>
          <w:rFonts w:ascii="Arial" w:hAnsi="Arial"/>
          <w:b/>
          <w:color w:val="1F3864"/>
          <w:sz w:val="26"/>
        </w:rPr>
        <w:t xml:space="preserve"> ”</w:t>
      </w:r>
    </w:p>
    <w:p>
      <w:pPr>
        <w:spacing w:after="120" w:before="240"/>
      </w:pPr>
      <w:r>
        <w:rPr>
          <w:rFonts w:ascii="Arial" w:hAnsi="Arial"/>
          <w:b/>
          <w:color w:val="1F3864"/>
          <w:sz w:val="24"/>
        </w:rPr>
        <w:t>2. Expansão, Alavancagem e Gráfico de Preços do Assaí</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6 (Atualidades e Estratégia + Gráfico)</w:t>
        <w:br/>
      </w:r>
      <w:r>
        <w:rPr>
          <w:rFonts w:ascii="Arial" w:hAnsi="Arial"/>
          <w:b/>
          <w:color w:val="595959"/>
          <w:sz w:val="19"/>
        </w:rPr>
        <w:t xml:space="preserve">🎯 Objetivo: </w:t>
      </w:r>
      <w:r>
        <w:rPr>
          <w:rFonts w:ascii="Arial" w:hAnsi="Arial"/>
          <w:color w:val="595959"/>
          <w:sz w:val="19"/>
        </w:rPr>
        <w:t>Analisar as conversões das lojas Extra Hiper e a pressão das dívidas.</w:t>
      </w:r>
    </w:p>
    <w:p>
      <w:pPr>
        <w:jc w:val="both"/>
        <w:spacing w:after="160" w:before="0"/>
        <w:ind w:left="360" w:right="360"/>
      </w:pPr>
      <w:r>
        <w:rPr>
          <w:rFonts w:ascii="Arial" w:hAnsi="Arial"/>
          <w:b/>
          <w:color w:val="1F3864"/>
          <w:sz w:val="26"/>
        </w:rPr>
        <w:t xml:space="preserve">“ </w:t>
      </w:r>
      <w:r>
        <w:rPr>
          <w:rFonts w:ascii="Arial" w:hAnsi="Arial"/>
          <w:color w:val="262626"/>
          <w:sz w:val="22"/>
        </w:rPr>
        <w:t>Atualmente, a tese do Assaí tem sido marcada por uma das maiores e mais agressivas expansões geográficas do varejo nacional. O marco dessa estratégia foi a aquisição e conversão de 70 pontos de venda do antigo Extra Hipermercado. Essa transação permitiu ao Assaí ocupar espaços comerciais nobres dentro de grandes centros urbanos de forma rápida. Porém, para financiar essa compra de pontos comerciais e arcar com o Capex bilionário de conversão das lojas em atacarejo, o Assaí captou um volume massivo de empréstimos bancários. A dívida bruta saltou para patamares elevados. A grande tempestade estratégica ocorreu quando a taxa de juros Selic subiu e permaneceu alta a dois dígitos por um período prolongado. A empresa viu as despesas de juros devorarem a sua receita operacional. Embora a receita bruta tenha crescido com a abertura das lojas Extra convertidas, o custo de carregar essa dívida líquida bilionária pressionou fortemente a última linha da DRE, deprimindo o lucro líquido acionário.</w:t>
      </w:r>
      <w:r>
        <w:rPr>
          <w:rFonts w:ascii="Arial" w:hAnsi="Arial"/>
          <w:b/>
          <w:color w:val="1F3864"/>
          <w:sz w:val="26"/>
        </w:rPr>
        <w:t xml:space="preserve"> ”</w:t>
      </w:r>
    </w:p>
    <w:p>
      <w:pPr>
        <w:spacing w:after="120" w:before="240"/>
      </w:pPr>
      <w:r>
        <w:rPr>
          <w:rFonts w:ascii="Arial" w:hAnsi="Arial"/>
          <w:b/>
          <w:color w:val="1F3864"/>
          <w:sz w:val="24"/>
        </w:rPr>
        <w:t>3. Raio-X Contábil e de Balanço do Assaí (2025)</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9 (Painel Comparativo Contábil)</w:t>
        <w:br/>
      </w:r>
      <w:r>
        <w:rPr>
          <w:rFonts w:ascii="Arial" w:hAnsi="Arial"/>
          <w:b/>
          <w:color w:val="595959"/>
          <w:sz w:val="19"/>
        </w:rPr>
        <w:t xml:space="preserve">🎯 Objetivo: </w:t>
      </w:r>
      <w:r>
        <w:rPr>
          <w:rFonts w:ascii="Arial" w:hAnsi="Arial"/>
          <w:color w:val="595959"/>
          <w:sz w:val="19"/>
        </w:rPr>
        <w:t>Demonstrar a receita volumosa contraída com margem operacional enxuta de ASAI3.</w:t>
      </w:r>
    </w:p>
    <w:p>
      <w:pPr>
        <w:jc w:val="both"/>
        <w:spacing w:after="160" w:before="0"/>
        <w:ind w:left="360" w:right="360"/>
      </w:pPr>
      <w:r>
        <w:rPr>
          <w:rFonts w:ascii="Arial" w:hAnsi="Arial"/>
          <w:b/>
          <w:color w:val="1F3864"/>
          <w:sz w:val="26"/>
        </w:rPr>
        <w:t xml:space="preserve">“ </w:t>
      </w:r>
      <w:r>
        <w:rPr>
          <w:rFonts w:ascii="Arial" w:hAnsi="Arial"/>
          <w:color w:val="262626"/>
          <w:sz w:val="22"/>
        </w:rPr>
        <w:t>Ao detalharmos os demonstrativos contábeis de 2025 do Assaí, o volume de vendas impressiona: a Receita Líquida foi de 71,5 bilhões de reais (muito próxima do faturamento da Ambev). O Lucro Bruto atingiu 12 bilhões de reais. Devido ao modelo de baixo markup do atacarejo, a margem bruta de lucros do Assaí é de apenas 16,87% (menos de um terço da margem de Ambev). O EBITDA fechou em 3,6 bilhões de reais (margem EBITDA de 5,07%). O Lucro Operacional (EBIT) encerrou 2025 também em 3,6 bilhões de reais, indicando uma margem operacional consolidada de 5,07%. E o Lucro Líquido final foi de 1 bilhão de reais, resultando em uma margem líquida enxuta de 1,43%. A grande vulnerabilidade estrutural reside no Balanço Patrimonial. O Patrimônio Líquido do Assaí de 4,7 bilhões de reais suporta uma Dívida Líquida volumosa de 21,3 bilhões de reais. Toda essa dívida consome o caixa gerado no fluxo operacional com despesas financeiras pesadas.</w:t>
      </w:r>
      <w:r>
        <w:rPr>
          <w:rFonts w:ascii="Arial" w:hAnsi="Arial"/>
          <w:b/>
          <w:color w:val="1F3864"/>
          <w:sz w:val="26"/>
        </w:rPr>
        <w:t xml:space="preserve"> ”</w:t>
      </w:r>
    </w:p>
    <w:p>
      <w:pPr>
        <w:spacing w:after="120" w:before="240"/>
      </w:pPr>
      <w:r>
        <w:rPr>
          <w:rFonts w:ascii="Arial" w:hAnsi="Arial"/>
          <w:b/>
          <w:color w:val="1F3864"/>
          <w:sz w:val="24"/>
        </w:rPr>
        <w:t>4. Destruição de Valor Econômico (EVA) no Assaí</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10 (Economic Value Added — Assaí)</w:t>
        <w:br/>
      </w:r>
      <w:r>
        <w:rPr>
          <w:rFonts w:ascii="Arial" w:hAnsi="Arial"/>
          <w:b/>
          <w:color w:val="595959"/>
          <w:sz w:val="19"/>
        </w:rPr>
        <w:t xml:space="preserve">🎯 Objetivo: </w:t>
      </w:r>
      <w:r>
        <w:rPr>
          <w:rFonts w:ascii="Arial" w:hAnsi="Arial"/>
          <w:color w:val="595959"/>
          <w:sz w:val="19"/>
        </w:rPr>
        <w:t>Explicar a destruição de valor residual sob o custo do capital investido do Assaí.</w:t>
      </w:r>
    </w:p>
    <w:p>
      <w:pPr>
        <w:jc w:val="both"/>
        <w:spacing w:after="160" w:before="0"/>
        <w:ind w:left="360" w:right="360"/>
      </w:pPr>
      <w:r>
        <w:rPr>
          <w:rFonts w:ascii="Arial" w:hAnsi="Arial"/>
          <w:b/>
          <w:color w:val="1F3864"/>
          <w:sz w:val="26"/>
        </w:rPr>
        <w:t xml:space="preserve">“ </w:t>
      </w:r>
      <w:r>
        <w:rPr>
          <w:rFonts w:ascii="Arial" w:hAnsi="Arial"/>
          <w:color w:val="262626"/>
          <w:sz w:val="22"/>
        </w:rPr>
        <w:t>O caso do Assaí é um exemplo clássico da diferença entre o lucro contábil e o lucro econômico medido pelo EVA. Contabilmente, em 2025, o Assaí registrou um lucro líquido de 1 bilhão de reais na DRE. No entanto, sob a ótica econômica, a empresa destruiu riqueza do acionista. O Retorno sobre o Capital Investido (ROIC pós-tax) do Assaí foi de 8,89%. O Custo Médio Ponderado de Capital (WACC) calculado para carregar a empresa sob juros altos foi de 10,14%. O spread contábil pós-tax foi negativo: de -1,25%. Isso significa que o retorno gerado pelas operações do Assaí foi menor do que o custo de carregar a estrutura de capital (dívida + capital próprio). Multiplicando esse spread negativo pela base de capital investido de mais de 26 bilhões de reais, o Assaí registrou um EVA negativo de -333 milhões de reais em 2025.</w:t>
      </w:r>
      <w:r>
        <w:rPr>
          <w:rFonts w:ascii="Arial" w:hAnsi="Arial"/>
          <w:b/>
          <w:color w:val="1F3864"/>
          <w:sz w:val="26"/>
        </w:rPr>
        <w:t xml:space="preserve"> ”</w:t>
      </w:r>
    </w:p>
    <w:p>
      <w:pPr>
        <w:spacing w:after="120" w:before="240"/>
      </w:pPr>
      <w:r>
        <w:rPr>
          <w:rFonts w:ascii="Arial" w:hAnsi="Arial"/>
          <w:b/>
          <w:color w:val="1F3864"/>
          <w:sz w:val="24"/>
        </w:rPr>
        <w:t>5. Performance de Mercado e Risco das Ações do Assaí</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11 (Painel de Performance) / Slide 12 (Gráfico)</w:t>
        <w:br/>
      </w:r>
      <w:r>
        <w:rPr>
          <w:rFonts w:ascii="Arial" w:hAnsi="Arial"/>
          <w:b/>
          <w:color w:val="595959"/>
          <w:sz w:val="19"/>
        </w:rPr>
        <w:t xml:space="preserve">🎯 Objetivo: </w:t>
      </w:r>
      <w:r>
        <w:rPr>
          <w:rFonts w:ascii="Arial" w:hAnsi="Arial"/>
          <w:color w:val="595959"/>
          <w:sz w:val="19"/>
        </w:rPr>
        <w:t>Explicar a desvalorização na Bolsa e a sensibilidade do papel do Assaí aos juros.</w:t>
      </w:r>
    </w:p>
    <w:p>
      <w:pPr>
        <w:jc w:val="both"/>
        <w:spacing w:after="160" w:before="0"/>
        <w:ind w:left="360" w:right="360"/>
      </w:pPr>
      <w:r>
        <w:rPr>
          <w:rFonts w:ascii="Arial" w:hAnsi="Arial"/>
          <w:b/>
          <w:color w:val="1F3864"/>
          <w:sz w:val="26"/>
        </w:rPr>
        <w:t xml:space="preserve">“ </w:t>
      </w:r>
      <w:r>
        <w:rPr>
          <w:rFonts w:ascii="Arial" w:hAnsi="Arial"/>
          <w:color w:val="262626"/>
          <w:sz w:val="22"/>
        </w:rPr>
        <w:t>A performance da ação ASAI3 na Bolsa mostra que o mercado de capitais antecipou e precificou a destruição de valor econômico da empresa. A ação acumulou uma desvalorização de -47,19% no período de 5 anos (uma queda média anualizada CAGR de -11,99%). A volatilidade anualizada de ASAI3 foi de 40,45% — mais que o dobro da volatilidade do Ibovespa. Seu Beta de 1,0981 indica que a ação oscila alinhada ao mercado de ações em geral, mas amplifica os movimentos de queda quando o mercado sofre. O Máximo Drawdown (queda máxima sofrida de pico a vale na Bolsa) foi devastador: -75,55% de desvalorização em relação ao seu topo histórico acionário. A forte correlação do papel com a taxa de juros futura (DI) torna a cotação do Assaí extremamente sensível aos comunicados do Copom sobre a manutenção da taxa Selic elevada.</w:t>
      </w:r>
      <w:r>
        <w:rPr>
          <w:rFonts w:ascii="Arial" w:hAnsi="Arial"/>
          <w:b/>
          <w:color w:val="1F3864"/>
          <w:sz w:val="26"/>
        </w:rPr>
        <w:t xml:space="preserve"> ”</w:t>
      </w:r>
    </w:p>
    <w:p>
      <w:pPr>
        <w:spacing w:after="120" w:before="240"/>
      </w:pPr>
      <w:r>
        <w:rPr>
          <w:rFonts w:ascii="Arial" w:hAnsi="Arial"/>
          <w:b/>
          <w:color w:val="1F3864"/>
          <w:sz w:val="24"/>
        </w:rPr>
        <w:t>6. Projeções de Monte Carlo (2026) para ASAI3</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14 (Tabela MC) / Slide 15 (Funil MC)</w:t>
        <w:br/>
      </w:r>
      <w:r>
        <w:rPr>
          <w:rFonts w:ascii="Arial" w:hAnsi="Arial"/>
          <w:b/>
          <w:color w:val="595959"/>
          <w:sz w:val="19"/>
        </w:rPr>
        <w:t xml:space="preserve">🎯 Objetivo: </w:t>
      </w:r>
      <w:r>
        <w:rPr>
          <w:rFonts w:ascii="Arial" w:hAnsi="Arial"/>
          <w:color w:val="595959"/>
          <w:sz w:val="19"/>
        </w:rPr>
        <w:t>Analisar a distribuição estocástica de preços e o VaR do Assaí.</w:t>
      </w:r>
    </w:p>
    <w:p>
      <w:pPr>
        <w:jc w:val="both"/>
        <w:spacing w:after="160" w:before="0"/>
        <w:ind w:left="360" w:right="360"/>
      </w:pPr>
      <w:r>
        <w:rPr>
          <w:rFonts w:ascii="Arial" w:hAnsi="Arial"/>
          <w:b/>
          <w:color w:val="1F3864"/>
          <w:sz w:val="26"/>
        </w:rPr>
        <w:t xml:space="preserve">“ </w:t>
      </w:r>
      <w:r>
        <w:rPr>
          <w:rFonts w:ascii="Arial" w:hAnsi="Arial"/>
          <w:color w:val="262626"/>
          <w:sz w:val="22"/>
        </w:rPr>
        <w:t>Ao rodarmos a Simulação de Monte Carlo para o Assaí em 2026, os parâmetros de tendência e volatilidade (mu de -0,000205 e volatilidade diária de 0,025483) projetam um funil de preços intermediário, mas com nítido viés de queda. Partindo do preço real de R$ 7,20 em dezembro de 2025, o modelo projeta uma cotação mediana de R$ 6,30 para dezembro de 2026, o que representaria uma desvalorização estimada de -12,54% ao longo do ano. A dispersão de risco é relevante: no pior cenário simulado (percentil de 5%), o preço desaba para R$ 3,23. No melhor cenário (percentil de 95%), ele sobe para R$ 12,26. Esse comportamento projeta um Value at Risk (VaR) de -55,09% com 95% de confiança. Além disso, a probabilidade do Assaí fechar o ano de 2026 acumulando perda nominal é de expressivos 63,0%. Isso alerta os investidores sobre o risco do papel.</w:t>
      </w:r>
      <w:r>
        <w:rPr>
          <w:rFonts w:ascii="Arial" w:hAnsi="Arial"/>
          <w:b/>
          <w:color w:val="1F3864"/>
          <w:sz w:val="26"/>
        </w:rPr>
        <w:t xml:space="preserve"> ”</w:t>
      </w:r>
    </w:p>
    <w:p>
      <w:r>
        <w:rPr>
          <w:rFonts w:ascii="Arial" w:hAnsi="Arial"/>
          <w:sz w:val="22"/>
        </w:rPr>
      </w:r>
    </w:p>
    <w:p>
      <w:pPr>
        <w:shd w:fill="1F3864" w:color="1F3864"/>
        <w:spacing w:after="160" w:before="360"/>
        <w:ind w:left="200" w:right="200"/>
      </w:pPr>
      <w:r>
        <w:rPr>
          <w:rFonts w:ascii="Arial" w:hAnsi="Arial"/>
          <w:b/>
          <w:color w:val="FFFFFF"/>
          <w:sz w:val="26"/>
        </w:rPr>
        <w:t>Seção 4: Bloco Temático — Lojas Americanas (AMER3)</w:t>
      </w:r>
    </w:p>
    <w:p>
      <w:pPr>
        <w:spacing w:after="120" w:before="240"/>
      </w:pPr>
      <w:r>
        <w:rPr>
          <w:rFonts w:ascii="Arial" w:hAnsi="Arial"/>
          <w:b/>
          <w:color w:val="1F3864"/>
          <w:sz w:val="24"/>
        </w:rPr>
        <w:t>1. Perfil Corporativo e Modelo de Negócios</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7 (Perfil Corporativo)</w:t>
        <w:br/>
      </w:r>
      <w:r>
        <w:rPr>
          <w:rFonts w:ascii="Arial" w:hAnsi="Arial"/>
          <w:b/>
          <w:color w:val="595959"/>
          <w:sz w:val="19"/>
        </w:rPr>
        <w:t xml:space="preserve">🎯 Objetivo: </w:t>
      </w:r>
      <w:r>
        <w:rPr>
          <w:rFonts w:ascii="Arial" w:hAnsi="Arial"/>
          <w:color w:val="595959"/>
          <w:sz w:val="19"/>
        </w:rPr>
        <w:t>Analisar o histórico da rede física e a operação multicanal física-digital da Americanas.</w:t>
      </w:r>
    </w:p>
    <w:p>
      <w:pPr>
        <w:jc w:val="both"/>
        <w:spacing w:after="160" w:before="0"/>
        <w:ind w:left="360" w:right="360"/>
      </w:pPr>
      <w:r>
        <w:rPr>
          <w:rFonts w:ascii="Arial" w:hAnsi="Arial"/>
          <w:b/>
          <w:color w:val="1F3864"/>
          <w:sz w:val="26"/>
        </w:rPr>
        <w:t xml:space="preserve">“ </w:t>
      </w:r>
      <w:r>
        <w:rPr>
          <w:rFonts w:ascii="Arial" w:hAnsi="Arial"/>
          <w:color w:val="262626"/>
          <w:sz w:val="22"/>
        </w:rPr>
        <w:t>Passamos agora para a análise detalhada das Lojas Americanas, sob o ticker AMER3. Fundada em 1929, as Americanas constituem uma das marcas mais tradicionais do varejo brasileiro, com forte presença física em shoppings e centros urbanos. O modelo de negócios da empresa é baseado em conveniência e multicanalidade. Ela integrava uma capilarizada rede de lojas físicas de varejo de conveniência de baixo ticket com uma robusta plataforma digital de e-commerce e marketplace de grande porte. O foco comercial histórico da empresa sempre foi a venda de bens de consumo de giro rápido, chocolates, brinquedos e eletrodomésticos. Contudo, a tese de crescimento do e-commerce digital no Brasil exigia forte subsídio de preços e capital intensivo, expondo as fraquezas estruturais de concorrência com players globais e dependência de crédito.</w:t>
      </w:r>
      <w:r>
        <w:rPr>
          <w:rFonts w:ascii="Arial" w:hAnsi="Arial"/>
          <w:b/>
          <w:color w:val="1F3864"/>
          <w:sz w:val="26"/>
        </w:rPr>
        <w:t xml:space="preserve"> ”</w:t>
      </w:r>
    </w:p>
    <w:p>
      <w:pPr>
        <w:spacing w:after="120" w:before="240"/>
      </w:pPr>
      <w:r>
        <w:rPr>
          <w:rFonts w:ascii="Arial" w:hAnsi="Arial"/>
          <w:b/>
          <w:color w:val="1F3864"/>
          <w:sz w:val="24"/>
        </w:rPr>
        <w:t>2. A Fraude Contábil e o Processo de Recuperação Judicial</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8 (Atualidades e Estratégia + Gráfico)</w:t>
        <w:br/>
      </w:r>
      <w:r>
        <w:rPr>
          <w:rFonts w:ascii="Arial" w:hAnsi="Arial"/>
          <w:b/>
          <w:color w:val="595959"/>
          <w:sz w:val="19"/>
        </w:rPr>
        <w:t xml:space="preserve">🎯 Objetivo: </w:t>
      </w:r>
      <w:r>
        <w:rPr>
          <w:rFonts w:ascii="Arial" w:hAnsi="Arial"/>
          <w:color w:val="595959"/>
          <w:sz w:val="19"/>
        </w:rPr>
        <w:t>Analisar o rombo contábil de R$ 20 bilhões, a RJ e o grupamento de ações.</w:t>
      </w:r>
    </w:p>
    <w:p>
      <w:pPr>
        <w:jc w:val="both"/>
        <w:spacing w:after="160" w:before="0"/>
        <w:ind w:left="360" w:right="360"/>
      </w:pPr>
      <w:r>
        <w:rPr>
          <w:rFonts w:ascii="Arial" w:hAnsi="Arial"/>
          <w:b/>
          <w:color w:val="1F3864"/>
          <w:sz w:val="26"/>
        </w:rPr>
        <w:t xml:space="preserve">“ </w:t>
      </w:r>
      <w:r>
        <w:rPr>
          <w:rFonts w:ascii="Arial" w:hAnsi="Arial"/>
          <w:color w:val="262626"/>
          <w:sz w:val="22"/>
        </w:rPr>
        <w:t>A história das Americanas mudou radicalmente em 11 de janeiro de 2023 com a divulgação do histórico fato relevante informando a descoberta de 'inconsistências contábeis' estimadas preliminarmente em R$ 20 bilhões. Investigações posteriores revelaram tratar-se de fraude contábil intencional que omitia do passivo as operações de risco sacado (forfaiting) para inflar artificialmente o caixa e os lucros. O colapso foi imediato. A empresa perdeu acesso a crédito, as linhas bancárias foram congeladas, e fornecedores cortaram o abastecimento. Em poucos dias, a Americanas entrou com pedido de Recuperação Judicial urgente. Para tentar salvar a operação, um plano de reestruturação foi aprovado prevendo um aumento de capital de R$ 12 bilhões com recursos dos acionistas de referência e a conversão de parte significativa das dívidas dos bancos credores em ações. Para completar, em 26 de agosto de 2024, a B3 executou um grupamento de ações na proporção de 100 para 1, para retirar a ação da zona de penny stock. Esse grupamento explica as cotações passadas de milhares de reais que aparecem no gráfico histórico ajustado.</w:t>
      </w:r>
      <w:r>
        <w:rPr>
          <w:rFonts w:ascii="Arial" w:hAnsi="Arial"/>
          <w:b/>
          <w:color w:val="1F3864"/>
          <w:sz w:val="26"/>
        </w:rPr>
        <w:t xml:space="preserve"> ”</w:t>
      </w:r>
    </w:p>
    <w:p>
      <w:pPr>
        <w:spacing w:after="120" w:before="240"/>
      </w:pPr>
      <w:r>
        <w:rPr>
          <w:rFonts w:ascii="Arial" w:hAnsi="Arial"/>
          <w:b/>
          <w:color w:val="1F3864"/>
          <w:sz w:val="24"/>
        </w:rPr>
        <w:t>3. Raio-X Contábil e de Balanço de Americanas (2025)</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9 (Painel Comparativo Contábil)</w:t>
        <w:br/>
      </w:r>
      <w:r>
        <w:rPr>
          <w:rFonts w:ascii="Arial" w:hAnsi="Arial"/>
          <w:b/>
          <w:color w:val="595959"/>
          <w:sz w:val="19"/>
        </w:rPr>
        <w:t xml:space="preserve">🎯 Objetivo: </w:t>
      </w:r>
      <w:r>
        <w:rPr>
          <w:rFonts w:ascii="Arial" w:hAnsi="Arial"/>
          <w:color w:val="595959"/>
          <w:sz w:val="19"/>
        </w:rPr>
        <w:t>Demonstrar a contração severa da receita e o prejuízo reportado de AMER3 em 2025.</w:t>
      </w:r>
    </w:p>
    <w:p>
      <w:pPr>
        <w:jc w:val="both"/>
        <w:spacing w:after="160" w:before="0"/>
        <w:ind w:left="360" w:right="360"/>
      </w:pPr>
      <w:r>
        <w:rPr>
          <w:rFonts w:ascii="Arial" w:hAnsi="Arial"/>
          <w:b/>
          <w:color w:val="1F3864"/>
          <w:sz w:val="26"/>
        </w:rPr>
        <w:t xml:space="preserve">“ </w:t>
      </w:r>
      <w:r>
        <w:rPr>
          <w:rFonts w:ascii="Arial" w:hAnsi="Arial"/>
          <w:color w:val="262626"/>
          <w:sz w:val="22"/>
        </w:rPr>
        <w:t>O balanço contábil de 2025 da Americanas é o retrato físico de uma corporação em ruínas operacionais. A Receita Líquida encolheu para apenas 12,3 bilhões de reais (uma fração do que já faturou no passado). O Lucro Bruto foi de 3,1 bilhões de reais, indicando margem bruta de 25,34%. O EBITDA foi de modestos 684 milhões de reais (margem EBITDA de 5,55%), que mal cobre as despesas básicas da estrutura física. O Lucro Operacional (EBIT) foi de apenas 331 milhões de reais, com margem operacional deprimida de 2,69%. A empresa registrou prejuízo líquido contábil consolidado de 271 milhões de reais na última linha. No Balanço Patrimonial, a Americanas reporta um Patrimônio Líquido de 5,3 bilhões de reais, contudo, esse PL só existe no papel após as injeções recentes de capital dos sócios. A Dívida Líquida reportada é de 5,7 bilhões de reais (uma dívida bruta de 9,3 bilhões contra 3,5 bilhões de caixa). Os indicadores apontam para uma operação contraída.</w:t>
      </w:r>
      <w:r>
        <w:rPr>
          <w:rFonts w:ascii="Arial" w:hAnsi="Arial"/>
          <w:b/>
          <w:color w:val="1F3864"/>
          <w:sz w:val="26"/>
        </w:rPr>
        <w:t xml:space="preserve"> ”</w:t>
      </w:r>
    </w:p>
    <w:p>
      <w:pPr>
        <w:spacing w:after="120" w:before="240"/>
      </w:pPr>
      <w:r>
        <w:rPr>
          <w:rFonts w:ascii="Arial" w:hAnsi="Arial"/>
          <w:b/>
          <w:color w:val="1F3864"/>
          <w:sz w:val="24"/>
        </w:rPr>
        <w:t>4. Destruição de Valor Econômico (EVA) em Americanas</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10 (Economic Value Added — Americanas)</w:t>
        <w:br/>
      </w:r>
      <w:r>
        <w:rPr>
          <w:rFonts w:ascii="Arial" w:hAnsi="Arial"/>
          <w:b/>
          <w:color w:val="595959"/>
          <w:sz w:val="19"/>
        </w:rPr>
        <w:t xml:space="preserve">🎯 Objetivo: </w:t>
      </w:r>
      <w:r>
        <w:rPr>
          <w:rFonts w:ascii="Arial" w:hAnsi="Arial"/>
          <w:color w:val="595959"/>
          <w:sz w:val="19"/>
        </w:rPr>
        <w:t>Analisar o spread ROIC-WACC altamente negativo e o EVA destruído.</w:t>
      </w:r>
    </w:p>
    <w:p>
      <w:pPr>
        <w:jc w:val="both"/>
        <w:spacing w:after="160" w:before="0"/>
        <w:ind w:left="360" w:right="360"/>
      </w:pPr>
      <w:r>
        <w:rPr>
          <w:rFonts w:ascii="Arial" w:hAnsi="Arial"/>
          <w:b/>
          <w:color w:val="1F3864"/>
          <w:sz w:val="26"/>
        </w:rPr>
        <w:t xml:space="preserve">“ </w:t>
      </w:r>
      <w:r>
        <w:rPr>
          <w:rFonts w:ascii="Arial" w:hAnsi="Arial"/>
          <w:color w:val="262626"/>
          <w:sz w:val="22"/>
        </w:rPr>
        <w:t>Ao avaliarmos o Economic Value Added (EVA) da Americanas, os números revelam uma destruição de riqueza sem precedentes. O Retorno sobre o Capital Investido (ROIC pós-tax) da Americanas foi de apenas 2,07%. Enquanto isso, o WACC (Custo Médio Ponderado de Capital) exigido para carregar a empresa devido ao risco de insolvência saltou para 12,28%. O spread contábil pós-tax foi negativo de catastróficos -10,21%. Isso significa que para cada real investido na operação das Americanas, o investidor perdeu mais de 10 centavos em relação à taxa de remuneração mínima aceitável. O EVA final foi negativo de -1.074 milhões de reais em 2025. Esse dado contesta a viabilidade econômica do modelo atual e evidencia a destruição severa de patrimônio líquido provocada pela fraude e pelo endividamento estrutural da Recuperação Judicial.</w:t>
      </w:r>
      <w:r>
        <w:rPr>
          <w:rFonts w:ascii="Arial" w:hAnsi="Arial"/>
          <w:b/>
          <w:color w:val="1F3864"/>
          <w:sz w:val="26"/>
        </w:rPr>
        <w:t xml:space="preserve"> ”</w:t>
      </w:r>
    </w:p>
    <w:p>
      <w:pPr>
        <w:spacing w:after="120" w:before="240"/>
      </w:pPr>
      <w:r>
        <w:rPr>
          <w:rFonts w:ascii="Arial" w:hAnsi="Arial"/>
          <w:b/>
          <w:color w:val="1F3864"/>
          <w:sz w:val="24"/>
        </w:rPr>
        <w:t>5. Performance de Mercado e Risco das Ações de Americanas</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11 (Painel de Performance) / Slide 12 (Gráfico)</w:t>
        <w:br/>
      </w:r>
      <w:r>
        <w:rPr>
          <w:rFonts w:ascii="Arial" w:hAnsi="Arial"/>
          <w:b/>
          <w:color w:val="595959"/>
          <w:sz w:val="19"/>
        </w:rPr>
        <w:t xml:space="preserve">🎯 Objetivo: </w:t>
      </w:r>
      <w:r>
        <w:rPr>
          <w:rFonts w:ascii="Arial" w:hAnsi="Arial"/>
          <w:color w:val="595959"/>
          <w:sz w:val="19"/>
        </w:rPr>
        <w:t>Explicar o colapso patrimonial de -99,94% nas cotações e a volatilidade extrema.</w:t>
      </w:r>
    </w:p>
    <w:p>
      <w:pPr>
        <w:jc w:val="both"/>
        <w:spacing w:after="160" w:before="0"/>
        <w:ind w:left="360" w:right="360"/>
      </w:pPr>
      <w:r>
        <w:rPr>
          <w:rFonts w:ascii="Arial" w:hAnsi="Arial"/>
          <w:b/>
          <w:color w:val="1F3864"/>
          <w:sz w:val="26"/>
        </w:rPr>
        <w:t xml:space="preserve">“ </w:t>
      </w:r>
      <w:r>
        <w:rPr>
          <w:rFonts w:ascii="Arial" w:hAnsi="Arial"/>
          <w:color w:val="262626"/>
          <w:sz w:val="22"/>
        </w:rPr>
        <w:t>O comportamento de AMER3 na Bolsa de Valores representa o colapso patrimonial mais rápido da história do mercado de capitais brasileiro. O retorno acumulado do período de 5 anos foi negativo em absurdos -99,94% (uma taxa geométrica anualizada de queda de -76,96%). Em termos práticos, quem investiu R$ 10.000 em AMER3 em janeiro de 2021 encerrou 2025 com apenas R$ 6,00. A volatilidade anualizada foi a maior registrada no mercado, fechando em 129,45%, refletindo movimentos diários de dezenas de por cento de alta ou queda sem sustentação de fundamentos. O Beta de 1,5005 indica uma volatilidade sistemática exagerada. O Máximo Drawdown alcançou -99,96%. O gráfico de preços ajustado por grupamento de cotações registra a descida ao inferno financeiro: saindo de um patamar equivalente a R$ 7.354,00 por ação em 2021 para fechar 2025 a R$ 5,13.</w:t>
      </w:r>
      <w:r>
        <w:rPr>
          <w:rFonts w:ascii="Arial" w:hAnsi="Arial"/>
          <w:b/>
          <w:color w:val="1F3864"/>
          <w:sz w:val="26"/>
        </w:rPr>
        <w:t xml:space="preserve"> ”</w:t>
      </w:r>
    </w:p>
    <w:p>
      <w:pPr>
        <w:spacing w:after="120" w:before="240"/>
      </w:pPr>
      <w:r>
        <w:rPr>
          <w:rFonts w:ascii="Arial" w:hAnsi="Arial"/>
          <w:b/>
          <w:color w:val="1F3864"/>
          <w:sz w:val="24"/>
        </w:rPr>
        <w:t>6. Projeções de Monte Carlo (2026) para AMER3</w:t>
      </w:r>
    </w:p>
    <w:p>
      <w:pPr>
        <w:spacing w:after="100" w:before="0"/>
        <w:pBdr>
          <w:left w:val="single" w:sz="24" w:space="8" w:color="A6A6A6"/>
        </w:pBdr>
      </w:pPr>
      <w:r>
        <w:rPr>
          <w:rFonts w:ascii="Arial" w:hAnsi="Arial"/>
          <w:b/>
          <w:color w:val="595959"/>
          <w:sz w:val="19"/>
        </w:rPr>
        <w:t xml:space="preserve">📊 ID do Slide: </w:t>
      </w:r>
      <w:r>
        <w:rPr>
          <w:rFonts w:ascii="Arial" w:hAnsi="Arial"/>
          <w:color w:val="595959"/>
          <w:sz w:val="19"/>
        </w:rPr>
        <w:t>Slide 14 (Tabela MC) / Slide 15 (Funil MC)</w:t>
        <w:br/>
      </w:r>
      <w:r>
        <w:rPr>
          <w:rFonts w:ascii="Arial" w:hAnsi="Arial"/>
          <w:b/>
          <w:color w:val="595959"/>
          <w:sz w:val="19"/>
        </w:rPr>
        <w:t xml:space="preserve">🎯 Objetivo: </w:t>
      </w:r>
      <w:r>
        <w:rPr>
          <w:rFonts w:ascii="Arial" w:hAnsi="Arial"/>
          <w:color w:val="595959"/>
          <w:sz w:val="19"/>
        </w:rPr>
        <w:t>Demonstrar a distribuição estocástica de cotações para 2026, com 88,6% de probabilidade de perda.</w:t>
      </w:r>
    </w:p>
    <w:p>
      <w:pPr>
        <w:jc w:val="both"/>
        <w:spacing w:after="160" w:before="0"/>
        <w:ind w:left="360" w:right="360"/>
      </w:pPr>
      <w:r>
        <w:rPr>
          <w:rFonts w:ascii="Arial" w:hAnsi="Arial"/>
          <w:b/>
          <w:color w:val="1F3864"/>
          <w:sz w:val="26"/>
        </w:rPr>
        <w:t xml:space="preserve">“ </w:t>
      </w:r>
      <w:r>
        <w:rPr>
          <w:rFonts w:ascii="Arial" w:hAnsi="Arial"/>
          <w:color w:val="262626"/>
          <w:sz w:val="22"/>
        </w:rPr>
        <w:t>Ao rodarmos a Simulação de Monte Carlo para a Americanas para o ano de 2026, os parâmetros históricos catastróficos (mu diário negativo de -0,002808 e volatilidade diária de 0,080562) produzem um funil estocástico dramático e de altíssima dispersão de caudas. Partindo do último preço de fechamento de R$ 5,13 em dezembro de 2025, o preço mediano projetado para dezembro de 2026 é de R$ 1,11, apontando para uma desvalorização esperada de -78,38% adicionais a partir do patamar de preço atual. O risco estatístico é máximo: o Value at Risk (VaR) a 95% de confiança aponta para uma perda de -97,26% (onde a ação cairia para míseros R$ 0,14 no pior cenário). O melhor cenário projeta R$ 9,05, mostrando que a volatilidade cria uma falsa impressão de ganhos elevados em cenários raros. A probabilidade da Americanas fechar 2026 gerando perda real é de 88,6%. O modelo estocástico confirma que o papel opera em termos puramente especulativos, com alta probabilidade de destruição acionária.</w:t>
      </w:r>
      <w:r>
        <w:rPr>
          <w:rFonts w:ascii="Arial" w:hAnsi="Arial"/>
          <w:b/>
          <w:color w:val="1F3864"/>
          <w:sz w:val="26"/>
        </w:rPr>
        <w:t xml:space="preserve"> ”</w:t>
      </w:r>
    </w:p>
    <w:p>
      <w:r>
        <w:rPr>
          <w:rFonts w:ascii="Arial" w:hAnsi="Arial"/>
          <w:sz w:val="22"/>
        </w:rPr>
      </w:r>
    </w:p>
    <w:p>
      <w:pPr>
        <w:jc w:val="center"/>
      </w:pPr>
      <w:r>
        <w:rPr>
          <w:rFonts w:ascii="Arial" w:hAnsi="Arial"/>
          <w:i/>
          <w:color w:val="595959"/>
          <w:sz w:val="19"/>
        </w:rPr>
        <w:t>Fim do Roteiro de Falas Oficial — Análise de Desempenho e Risco (2021-2025)</w:t>
      </w:r>
    </w:p>
    <w:sectPr w:rsidR="00FC693F" w:rsidRPr="0006063C" w:rsidSect="00034616">
      <w:pgSz w:w="11906" w:h="16838"/>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