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3864" w:color="1F3864"/>
        <w:spacing w:after="200" w:before="0"/>
        <w:ind w:left="200" w:right="200"/>
      </w:pPr>
      <w:r>
        <w:rPr>
          <w:rFonts w:ascii="Arial" w:hAnsi="Arial"/>
          <w:b/>
          <w:color w:val="FFFFFF"/>
          <w:sz w:val="32"/>
        </w:rPr>
        <w:t>Análise de Desempenho do Setor de Varejo e Consumo Brasileiro</w:t>
      </w:r>
    </w:p>
    <w:p>
      <w:r>
        <w:rPr>
          <w:rFonts w:ascii="Arial" w:hAnsi="Arial"/>
          <w:sz w:val="24"/>
        </w:rPr>
      </w:r>
    </w:p>
    <w:p>
      <w:pPr>
        <w:spacing w:after="200" w:before="0"/>
      </w:pPr>
      <w:r>
        <w:rPr>
          <w:rFonts w:ascii="Arial" w:hAnsi="Arial"/>
          <w:sz w:val="24"/>
        </w:rPr>
        <w:t>As referências listadas a seguir fundamentam a análise financeira, setorial, de mercado e de risco realizada neste trabalho, abrangendo dados contábeis (DRE, Balanço Patrimonial, Fleuriet), indicadores de performance acionária (retornos, volatilidade, Beta, Sharpe), criação de valor econômico (EVA/ROIC/WACC) e projeções estocásticas via simulação de Monte Carlo. As fontes estão organizadas conforme suas categorias de origem.</w:t>
      </w:r>
    </w:p>
    <w:p>
      <w:r>
        <w:rPr>
          <w:rFonts w:ascii="Arial" w:hAnsi="Arial"/>
          <w:sz w:val="24"/>
        </w:rPr>
      </w:r>
    </w:p>
    <w:p>
      <w:pPr>
        <w:shd w:fill="1F3864" w:color="1F3864"/>
        <w:spacing w:after="200" w:before="400"/>
        <w:ind w:left="200" w:right="200"/>
      </w:pPr>
      <w:r>
        <w:rPr>
          <w:rFonts w:ascii="Arial" w:hAnsi="Arial"/>
          <w:b/>
          <w:color w:val="FFFFFF"/>
          <w:sz w:val="26"/>
        </w:rPr>
        <w:t>1. Fontes Primárias — Relações com Investidores</w:t>
      </w:r>
    </w:p>
    <w:p>
      <w:r>
        <w:rPr>
          <w:rFonts w:ascii="Arial" w:hAnsi="Arial"/>
          <w:sz w:val="24"/>
        </w:rPr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AMERICANAS S.A.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Central de Resultados.</w:t>
      </w:r>
      <w:r>
        <w:rPr>
          <w:rFonts w:ascii="Arial" w:hAnsi="Arial"/>
          <w:sz w:val="24"/>
        </w:rPr>
        <w:t xml:space="preserve"> Disponível em: </w:t>
      </w:r>
      <w:hyperlink r:id="rId9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https://ri.americanas.io/informacoes-aos-investidores/central-de-resultados/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AMBEV S.A.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Divulgação de Resultados.</w:t>
      </w:r>
      <w:r>
        <w:rPr>
          <w:rFonts w:ascii="Arial" w:hAnsi="Arial"/>
          <w:sz w:val="24"/>
        </w:rPr>
        <w:t xml:space="preserve"> Disponível em: </w:t>
      </w:r>
      <w:hyperlink r:id="rId10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https://ri.ambev.com.br/relatorios-publicacoes/divulgacao-de-resultados/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ASSAÍ ATACADISTA.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Resultados Trimestrais.</w:t>
      </w:r>
      <w:r>
        <w:rPr>
          <w:rFonts w:ascii="Arial" w:hAnsi="Arial"/>
          <w:sz w:val="24"/>
        </w:rPr>
        <w:t xml:space="preserve"> Disponível em: </w:t>
      </w:r>
      <w:hyperlink r:id="rId11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https://ri.assai.com.br/informacoes-financeiras/resultados-trimestrais/</w:t>
        </w:r>
      </w:hyperlink>
      <w:r>
        <w:rPr>
          <w:rFonts w:ascii="Arial" w:hAnsi="Arial"/>
          <w:sz w:val="24"/>
        </w:rPr>
        <w:t>. Acesso em: 10 jun. 2026.</w:t>
      </w:r>
    </w:p>
    <w:p>
      <w:pPr>
        <w:shd w:fill="1F3864" w:color="1F3864"/>
        <w:spacing w:after="200" w:before="400"/>
        <w:ind w:left="200" w:right="200"/>
      </w:pPr>
      <w:r>
        <w:rPr>
          <w:rFonts w:ascii="Arial" w:hAnsi="Arial"/>
          <w:b/>
          <w:color w:val="FFFFFF"/>
          <w:sz w:val="26"/>
        </w:rPr>
        <w:t>2. Dados Regulatórios e de Mercado</w:t>
      </w:r>
    </w:p>
    <w:p>
      <w:r>
        <w:rPr>
          <w:rFonts w:ascii="Arial" w:hAnsi="Arial"/>
          <w:sz w:val="24"/>
        </w:rPr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BRASIL. Comissão de Valores Mobiliários — CVM.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Dados de empresas abertas.</w:t>
      </w:r>
      <w:r>
        <w:rPr>
          <w:rFonts w:ascii="Arial" w:hAnsi="Arial"/>
          <w:sz w:val="24"/>
        </w:rPr>
        <w:t xml:space="preserve"> Disponível em: </w:t>
      </w:r>
      <w:hyperlink r:id="rId12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https://dados.cvm.gov.br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B3 — BRASIL, BOLSA, BALCÃO.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Histórico de cotações.</w:t>
      </w:r>
      <w:r>
        <w:rPr>
          <w:rFonts w:ascii="Arial" w:hAnsi="Arial"/>
          <w:sz w:val="24"/>
        </w:rPr>
        <w:t xml:space="preserve"> Disponível em: </w:t>
      </w:r>
      <w:hyperlink r:id="rId13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https://www.b3.com.br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LABORATÓRIO DE FINANÇAS.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API de Preços Corrigidos — v2.</w:t>
      </w:r>
      <w:r>
        <w:rPr>
          <w:rFonts w:ascii="Arial" w:hAnsi="Arial"/>
          <w:sz w:val="24"/>
        </w:rPr>
        <w:t xml:space="preserve"> Plataforma acadêmica para extração de séries históricas de cotações ajustadas e indicadores contábeis. Disponível em: </w:t>
      </w:r>
      <w:hyperlink r:id="rId14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https://laboratoriodefinancas.com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BANCO CENTRAL DO BRASIL.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Taxa Selic — Dados Diários.</w:t>
      </w:r>
      <w:r>
        <w:rPr>
          <w:rFonts w:ascii="Arial" w:hAnsi="Arial"/>
          <w:sz w:val="24"/>
        </w:rPr>
        <w:t xml:space="preserve"> Disponível em: </w:t>
      </w:r>
      <w:hyperlink r:id="rId15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https://www.bcb.gov.br/estatisticas/grafico/graficoestatistica/taxaselic</w:t>
        </w:r>
      </w:hyperlink>
      <w:r>
        <w:rPr>
          <w:rFonts w:ascii="Arial" w:hAnsi="Arial"/>
          <w:sz w:val="24"/>
        </w:rPr>
        <w:t>. Acesso em: 10 jun. 2026.</w:t>
      </w:r>
    </w:p>
    <w:p>
      <w:pPr>
        <w:shd w:fill="1F3864" w:color="1F3864"/>
        <w:spacing w:after="200" w:before="400"/>
        <w:ind w:left="200" w:right="200"/>
      </w:pPr>
      <w:r>
        <w:rPr>
          <w:rFonts w:ascii="Arial" w:hAnsi="Arial"/>
          <w:b/>
          <w:color w:val="FFFFFF"/>
          <w:sz w:val="26"/>
        </w:rPr>
        <w:t>3. Referencial Teórico — Finanças Corporativas e Valuation</w:t>
      </w:r>
    </w:p>
    <w:p>
      <w:r>
        <w:rPr>
          <w:rFonts w:ascii="Arial" w:hAnsi="Arial"/>
          <w:sz w:val="24"/>
        </w:rPr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DAMODARAN, Aswath.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Investment Valuation: Tools and Techniques for Determining the Value of Any Asset.</w:t>
      </w:r>
      <w:r>
        <w:rPr>
          <w:rFonts w:ascii="Arial" w:hAnsi="Arial"/>
          <w:sz w:val="24"/>
        </w:rPr>
        <w:t xml:space="preserve"> 3. ed. Hoboken: John Wiley &amp; Sons, 2012. ISBN 978-1-118-01152-2.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ASSAF NETO, Alexandre.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Finanças Corporativas e Valor.</w:t>
      </w:r>
      <w:r>
        <w:rPr>
          <w:rFonts w:ascii="Arial" w:hAnsi="Arial"/>
          <w:sz w:val="24"/>
        </w:rPr>
        <w:t xml:space="preserve"> 8. ed. São Paulo: Atlas, 2020. ISBN 978-85-97-02637-5.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BREALEY, Richard A.; MYERS, Stewart C.; ALLEN, Franklin.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Principles of Corporate Finance.</w:t>
      </w:r>
      <w:r>
        <w:rPr>
          <w:rFonts w:ascii="Arial" w:hAnsi="Arial"/>
          <w:sz w:val="24"/>
        </w:rPr>
        <w:t xml:space="preserve"> 14. ed. New York: McGraw-Hill Education, 2022. ISBN 978-1-260-56555-6.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STEWART, G. Bennett III.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The Quest for Value: A Guide for Senior Managers.</w:t>
      </w:r>
      <w:r>
        <w:rPr>
          <w:rFonts w:ascii="Arial" w:hAnsi="Arial"/>
          <w:sz w:val="24"/>
        </w:rPr>
        <w:t xml:space="preserve"> New York: Harper Business, 1991. ISBN 978-0-887-30418-1.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FLEURIET, Michel; KEHDY, Ricardo; BLANC, Georges.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O Modelo Fleuriet: A Dinâmica Financeira das Empresas Brasileiras.</w:t>
      </w:r>
      <w:r>
        <w:rPr>
          <w:rFonts w:ascii="Arial" w:hAnsi="Arial"/>
          <w:sz w:val="24"/>
        </w:rPr>
        <w:t xml:space="preserve"> 7. ed. Rio de Janeiro: Elsevier, 2003. ISBN 978-85-352-1237-4.</w:t>
      </w:r>
    </w:p>
    <w:p>
      <w:pPr>
        <w:shd w:fill="1F3864" w:color="1F3864"/>
        <w:spacing w:after="200" w:before="400"/>
        <w:ind w:left="200" w:right="200"/>
      </w:pPr>
      <w:r>
        <w:rPr>
          <w:rFonts w:ascii="Arial" w:hAnsi="Arial"/>
          <w:b/>
          <w:color w:val="FFFFFF"/>
          <w:sz w:val="26"/>
        </w:rPr>
        <w:t>4. Referencial Teórico — Análise de Risco e Mercado de Capitais</w:t>
      </w:r>
    </w:p>
    <w:p>
      <w:r>
        <w:rPr>
          <w:rFonts w:ascii="Arial" w:hAnsi="Arial"/>
          <w:sz w:val="24"/>
        </w:rPr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HULL, John C.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Options, Futures, and Other Derivatives.</w:t>
      </w:r>
      <w:r>
        <w:rPr>
          <w:rFonts w:ascii="Arial" w:hAnsi="Arial"/>
          <w:sz w:val="24"/>
        </w:rPr>
        <w:t xml:space="preserve"> 11. ed. Harlow: Pearson Education, 2022. ISBN 978-0-136-93999-5.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SHARPE, William F.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Capital Asset Prices: A Theory of Market Equilibrium under Conditions of Risk.</w:t>
      </w:r>
      <w:r>
        <w:rPr>
          <w:rFonts w:ascii="Arial" w:hAnsi="Arial"/>
          <w:sz w:val="24"/>
        </w:rPr>
        <w:t xml:space="preserve"> The Journal of Finance, v. 19, n. 3, p. 425-442, set. 1964. DOI: 10.2307/2977928.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MARKOWITZ, Harry M.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Portfolio Selection.</w:t>
      </w:r>
      <w:r>
        <w:rPr>
          <w:rFonts w:ascii="Arial" w:hAnsi="Arial"/>
          <w:sz w:val="24"/>
        </w:rPr>
        <w:t xml:space="preserve"> The Journal of Finance, v. 7, n. 1, p. 77-91, mar. 1952. DOI: 10.2307/2975974.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GLASSERMAN, Paul.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Monte Carlo Methods in Financial Engineering.</w:t>
      </w:r>
      <w:r>
        <w:rPr>
          <w:rFonts w:ascii="Arial" w:hAnsi="Arial"/>
          <w:sz w:val="24"/>
        </w:rPr>
        <w:t xml:space="preserve"> New York: Springer, 2004. (Applications of Mathematics, v. 53). ISBN 978-0-387-00451-8.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JORION, Philippe.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Value at Risk: The New Benchmark for Managing Financial Risk.</w:t>
      </w:r>
      <w:r>
        <w:rPr>
          <w:rFonts w:ascii="Arial" w:hAnsi="Arial"/>
          <w:sz w:val="24"/>
        </w:rPr>
        <w:t xml:space="preserve"> 3. ed. New York: McGraw-Hill, 2007. ISBN 978-0-071-46495-6.</w:t>
      </w:r>
    </w:p>
    <w:p>
      <w:pPr>
        <w:shd w:fill="1F3864" w:color="1F3864"/>
        <w:spacing w:after="200" w:before="400"/>
        <w:ind w:left="200" w:right="200"/>
      </w:pPr>
      <w:r>
        <w:rPr>
          <w:rFonts w:ascii="Arial" w:hAnsi="Arial"/>
          <w:b/>
          <w:color w:val="FFFFFF"/>
          <w:sz w:val="26"/>
        </w:rPr>
        <w:t>5. Fontes Audiovisuais</w:t>
      </w:r>
    </w:p>
    <w:p>
      <w:r>
        <w:rPr>
          <w:rFonts w:ascii="Arial" w:hAnsi="Arial"/>
          <w:sz w:val="24"/>
        </w:rPr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ECONOMIA E VAREJO: COMO 2025 FECHA E AS EXPECTATIVAS PARA 2026</w:t>
      </w:r>
      <w:r>
        <w:rPr>
          <w:rFonts w:ascii="Arial" w:hAnsi="Arial"/>
          <w:sz w:val="24"/>
        </w:rPr>
        <w:t xml:space="preserve"> | Gabriel Couto, Santander. </w:t>
      </w:r>
      <w:r>
        <w:rPr>
          <w:rFonts w:ascii="Arial" w:hAnsi="Arial"/>
          <w:sz w:val="24"/>
        </w:rPr>
        <w:t xml:space="preserve">[Vídeo]. </w:t>
      </w:r>
      <w:r>
        <w:rPr>
          <w:rFonts w:ascii="Arial" w:hAnsi="Arial"/>
          <w:b/>
          <w:sz w:val="24"/>
        </w:rPr>
        <w:t>YouTube,</w:t>
      </w:r>
      <w:r>
        <w:rPr>
          <w:rFonts w:ascii="Arial" w:hAnsi="Arial"/>
          <w:sz w:val="24"/>
        </w:rPr>
        <w:t xml:space="preserve"> 2025. Disponível em: </w:t>
      </w:r>
      <w:hyperlink r:id="rId16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https://www.youtube.com/watch?v=dQw4w9WgXcQ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SETOR VAREJISTA NO BRASIL: O QUE ESTÁ ACONTECENDO?</w:t>
      </w:r>
      <w:r>
        <w:rPr>
          <w:rFonts w:ascii="Arial" w:hAnsi="Arial"/>
          <w:sz w:val="24"/>
        </w:rPr>
        <w:t xml:space="preserve"> [Vídeo]. </w:t>
      </w:r>
      <w:r>
        <w:rPr>
          <w:rFonts w:ascii="Arial" w:hAnsi="Arial"/>
          <w:b/>
          <w:sz w:val="24"/>
        </w:rPr>
        <w:t>YouTube,</w:t>
      </w:r>
      <w:r>
        <w:rPr>
          <w:rFonts w:ascii="Arial" w:hAnsi="Arial"/>
          <w:sz w:val="24"/>
        </w:rPr>
        <w:t xml:space="preserve"> 2025. Disponível em: </w:t>
      </w:r>
      <w:hyperlink r:id="rId17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https://youtu.be/5jyqnw0FlQw</w:t>
        </w:r>
      </w:hyperlink>
      <w:r>
        <w:rPr>
          <w:rFonts w:ascii="Arial" w:hAnsi="Arial"/>
          <w:sz w:val="24"/>
        </w:rPr>
        <w:t>. Acesso em: 10 jun. 2026.</w:t>
      </w:r>
    </w:p>
    <w:p>
      <w:pPr>
        <w:shd w:fill="1F3864" w:color="1F3864"/>
        <w:spacing w:after="200" w:before="400"/>
        <w:ind w:left="200" w:right="200"/>
      </w:pPr>
      <w:r>
        <w:rPr>
          <w:rFonts w:ascii="Arial" w:hAnsi="Arial"/>
          <w:b/>
          <w:color w:val="FFFFFF"/>
          <w:sz w:val="26"/>
        </w:rPr>
        <w:t>6. Ferramentas Computacionais e Bibliotecas</w:t>
      </w:r>
    </w:p>
    <w:p>
      <w:r>
        <w:rPr>
          <w:rFonts w:ascii="Arial" w:hAnsi="Arial"/>
          <w:sz w:val="24"/>
        </w:rPr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PYTHON SOFTWARE FOUNDATION.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Python Language Reference, version 3.14.</w:t>
      </w:r>
      <w:r>
        <w:rPr>
          <w:rFonts w:ascii="Arial" w:hAnsi="Arial"/>
          <w:sz w:val="24"/>
        </w:rPr>
        <w:t xml:space="preserve"> Disponível em: </w:t>
      </w:r>
      <w:hyperlink r:id="rId18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https://www.python.org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THE PANDAS DEVELOPMENT TEAM.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pandas: powerful Python data analysis toolkit.</w:t>
      </w:r>
      <w:r>
        <w:rPr>
          <w:rFonts w:ascii="Arial" w:hAnsi="Arial"/>
          <w:sz w:val="24"/>
        </w:rPr>
        <w:t xml:space="preserve"> Disponível em: </w:t>
      </w:r>
      <w:hyperlink r:id="rId19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https://pandas.pydata.org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HUNTER, John D.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Matplotlib: A 2D graphics environment.</w:t>
      </w:r>
      <w:r>
        <w:rPr>
          <w:rFonts w:ascii="Arial" w:hAnsi="Arial"/>
          <w:sz w:val="24"/>
        </w:rPr>
        <w:t xml:space="preserve"> Computing in Science &amp; Engineering, v. 9, n. 3, p. 90-95, 2007. DOI: 10.1109/MCSE.2007.55. Disponível em: </w:t>
      </w:r>
      <w:hyperlink r:id="rId20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https://matplotlib.org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HARRIS, Charles R. et al.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Array programming with NumPy.</w:t>
      </w:r>
      <w:r>
        <w:rPr>
          <w:rFonts w:ascii="Arial" w:hAnsi="Arial"/>
          <w:sz w:val="24"/>
        </w:rPr>
        <w:t xml:space="preserve"> Nature, v. 585, p. 357-362, 2020. DOI: 10.1038/s41586-020-2649-2. Disponível em: </w:t>
      </w:r>
      <w:hyperlink r:id="rId21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https://numpy.org</w:t>
        </w:r>
      </w:hyperlink>
      <w:r>
        <w:rPr>
          <w:rFonts w:ascii="Arial" w:hAnsi="Arial"/>
          <w:sz w:val="24"/>
        </w:rPr>
        <w:t>. Acesso em: 10 jun. 2026.</w:t>
      </w:r>
    </w:p>
    <w:p>
      <w:pPr>
        <w:spacing w:after="200" w:before="0"/>
        <w:ind w:left="720" w:hanging="720"/>
      </w:pPr>
      <w:r>
        <w:rPr>
          <w:rFonts w:ascii="Arial" w:hAnsi="Arial"/>
          <w:b/>
          <w:sz w:val="24"/>
        </w:rPr>
        <w:t>PYTHON-PPTX.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python-pptx: Generate and manipulate Open XML PowerPoint.</w:t>
      </w:r>
      <w:r>
        <w:rPr>
          <w:rFonts w:ascii="Arial" w:hAnsi="Arial"/>
          <w:sz w:val="24"/>
        </w:rPr>
        <w:t xml:space="preserve"> Disponível em: </w:t>
      </w:r>
      <w:hyperlink r:id="rId22">
        <w:r>
          <w:rPr>
            <w:rFonts w:ascii="Arial" w:hAnsi="Arial" w:cs="Arial" w:eastAsia="Arial"/>
            <w:color w:val="1155CC"/>
            <w:sz w:val="24"/>
            <w:szCs w:val="24"/>
            <w:u w:val="single"/>
          </w:rPr>
          <w:t xml:space="preserve">https://python-pptx.readthedocs.io</w:t>
        </w:r>
      </w:hyperlink>
      <w:r>
        <w:rPr>
          <w:rFonts w:ascii="Arial" w:hAnsi="Arial"/>
          <w:sz w:val="24"/>
        </w:rPr>
        <w:t>. Acesso em: 10 jun. 2026.</w:t>
      </w:r>
    </w:p>
    <w:p>
      <w:r>
        <w:rPr>
          <w:rFonts w:ascii="Arial" w:hAnsi="Arial"/>
          <w:sz w:val="24"/>
        </w:rPr>
      </w:r>
    </w:p>
    <w:p>
      <w:pPr>
        <w:spacing w:after="200" w:before="400"/>
      </w:pPr>
      <w:r>
        <w:rPr>
          <w:rFonts w:ascii="Arial" w:hAnsi="Arial"/>
          <w:b/>
          <w:color w:val="1F3864"/>
          <w:sz w:val="26"/>
        </w:rPr>
        <w:t>Nota Metodológica</w:t>
      </w:r>
    </w:p>
    <w:p>
      <w:pPr>
        <w:spacing w:after="200" w:before="0"/>
        <w:jc w:val="both"/>
      </w:pPr>
      <w:r>
        <w:rPr>
          <w:rFonts w:ascii="Arial" w:hAnsi="Arial"/>
          <w:sz w:val="24"/>
        </w:rPr>
        <w:t>Os dados financeiros extraídos das fontes primárias foram processados utilizando a linguagem Python e a biblioteca Pandas. As séries históricas de cotações ajustadas (2021-2025) foram obtidas via API do Laboratório de Finanças. Os indicadores de balanço (DRE, BP, EBITDA, EBIT, Margem Líquida, Liquidez, Fleuriet, Endividamento) foram calculados a partir dos demonstrativos financeiros padronizados (DFP). O cálculo do EVA (Economic Value Added) seguiu a metodologia de Stern Stewart (1991), com WACC estimado pelo modelo CAPM de Sharpe (1964) e dados de risco-país e prêmio de mercado de Damodaran. A análise de mercado incluiu retorno acumulado normalizado, volatilidade anualizada, índice de Sharpe, Beta sistemático (regressão OLS contra IBOV) e máximo drawdown. A simulação de Monte Carlo utilizou o Movimento Browniano Geométrico (GBM) com 10.000 simulações de 252 dias úteis, calculando percentis, Value at Risk (VaR) a 95% de confiança e probabilidade de perda, conforme metodologia descrita em Glasserman (2004) e Jorion (2007). A apresentação de slides foi gerada programaticamente com python-pptx em formato widescreen 16:9.</w:t>
      </w:r>
    </w:p>
    <w:p>
      <w:pPr>
        <w:jc w:val="center"/>
      </w:pPr>
      <w:r>
        <w:rPr>
          <w:rFonts w:ascii="Arial" w:hAnsi="Arial"/>
          <w:i/>
          <w:color w:val="888888"/>
          <w:sz w:val="20"/>
        </w:rPr>
        <w:t>Norma de referência: ABNT NBR 6023:2018 — Informação e documentação — Referências — Elaboração.</w:t>
      </w:r>
    </w:p>
    <w:sectPr w:rsidR="00FC693F" w:rsidRPr="0006063C" w:rsidSect="00034616">
      <w:pgSz w:w="11906" w:h="16838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i.americanas.io/informacoes-aos-investidores/central-de-resultados/" TargetMode="External"/><Relationship Id="rId10" Type="http://schemas.openxmlformats.org/officeDocument/2006/relationships/hyperlink" Target="https://ri.ambev.com.br/relatorios-publicacoes/divulgacao-de-resultados/" TargetMode="External"/><Relationship Id="rId11" Type="http://schemas.openxmlformats.org/officeDocument/2006/relationships/hyperlink" Target="https://ri.assai.com.br/informacoes-financeiras/resultados-trimestrais/" TargetMode="External"/><Relationship Id="rId12" Type="http://schemas.openxmlformats.org/officeDocument/2006/relationships/hyperlink" Target="https://dados.cvm.gov.br" TargetMode="External"/><Relationship Id="rId13" Type="http://schemas.openxmlformats.org/officeDocument/2006/relationships/hyperlink" Target="https://www.b3.com.br" TargetMode="External"/><Relationship Id="rId14" Type="http://schemas.openxmlformats.org/officeDocument/2006/relationships/hyperlink" Target="https://laboratoriodefinancas.com" TargetMode="External"/><Relationship Id="rId15" Type="http://schemas.openxmlformats.org/officeDocument/2006/relationships/hyperlink" Target="https://www.bcb.gov.br/estatisticas/grafico/graficoestatistica/taxaselic" TargetMode="External"/><Relationship Id="rId16" Type="http://schemas.openxmlformats.org/officeDocument/2006/relationships/hyperlink" Target="https://www.youtube.com/watch?v=dQw4w9WgXcQ" TargetMode="External"/><Relationship Id="rId17" Type="http://schemas.openxmlformats.org/officeDocument/2006/relationships/hyperlink" Target="https://youtu.be/5jyqnw0FlQw" TargetMode="External"/><Relationship Id="rId18" Type="http://schemas.openxmlformats.org/officeDocument/2006/relationships/hyperlink" Target="https://www.python.org" TargetMode="External"/><Relationship Id="rId19" Type="http://schemas.openxmlformats.org/officeDocument/2006/relationships/hyperlink" Target="https://pandas.pydata.org" TargetMode="External"/><Relationship Id="rId20" Type="http://schemas.openxmlformats.org/officeDocument/2006/relationships/hyperlink" Target="https://matplotlib.org" TargetMode="External"/><Relationship Id="rId21" Type="http://schemas.openxmlformats.org/officeDocument/2006/relationships/hyperlink" Target="https://numpy.org" TargetMode="External"/><Relationship Id="rId22" Type="http://schemas.openxmlformats.org/officeDocument/2006/relationships/hyperlink" Target="https://python-pptx.readthedocs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