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2285611D" w14:textId="254B1DF3" w:rsidR="00F4056B" w:rsidRPr="00407C1F" w:rsidRDefault="00EE3686" w:rsidP="00045C5E">
      <w:pPr>
        <w:pStyle w:val="ad"/>
        <w:rPr>
          <w:sz w:val="12"/>
          <w:szCs w:val="28"/>
        </w:rPr>
      </w:pPr>
      <w:r>
        <w:rPr>
          <w:noProof/>
          <w:szCs w:val="28"/>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DA760E" w:rsidRDefault="00F4056B" w:rsidP="00045C5E">
      <w:pPr>
        <w:pStyle w:val="ad"/>
        <w:rPr>
          <w:szCs w:val="28"/>
        </w:rPr>
      </w:pPr>
      <w:r w:rsidRPr="00407C1F">
        <w:rPr>
          <w:szCs w:val="28"/>
        </w:rPr>
        <w:t xml:space="preserve">Рисунок 1. Диаграмма структуры файла </w:t>
      </w:r>
      <w:proofErr w:type="gramStart"/>
      <w:r w:rsidRPr="00407C1F">
        <w:rPr>
          <w:szCs w:val="28"/>
        </w:rPr>
        <w:t xml:space="preserve">обмена  </w:t>
      </w:r>
      <w:r w:rsidR="00CF0F6F" w:rsidRPr="00407C1F">
        <w:t>гарантийного</w:t>
      </w:r>
      <w:proofErr w:type="gramEnd"/>
      <w:r w:rsidR="00CF0F6F" w:rsidRPr="00407C1F">
        <w:t xml:space="preserve"> письма</w:t>
      </w:r>
    </w:p>
    <w:p w14:paraId="47E96D6A" w14:textId="2102DA06" w:rsidR="00EB5262" w:rsidRPr="00DA760E" w:rsidRDefault="00EB5262" w:rsidP="00045C5E">
      <w:pPr>
        <w:pStyle w:val="ad"/>
        <w:rPr>
          <w:szCs w:val="28"/>
        </w:rPr>
        <w:sectPr w:rsidR="00EB5262" w:rsidRPr="00DA760E"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140865FD"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00DB3ABA">
        <w:rPr>
          <w:b w:val="0"/>
          <w:bCs w:val="0"/>
          <w:color w:val="auto"/>
          <w:sz w:val="24"/>
          <w:szCs w:val="24"/>
        </w:rPr>
        <w:t>5.1</w:t>
      </w:r>
      <w:bookmarkStart w:id="1" w:name="_GoBack"/>
      <w:bookmarkEnd w:id="1"/>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2"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2"/>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lastRenderedPageBreak/>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3"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4"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4"/>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5"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5"/>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DA760E" w:rsidRDefault="007A247D" w:rsidP="007A247D">
            <w:pPr>
              <w:jc w:val="center"/>
            </w:pPr>
            <w:proofErr w:type="gramStart"/>
            <w:r w:rsidRPr="00DA760E">
              <w:t>T(</w:t>
            </w:r>
            <w:proofErr w:type="gramEnd"/>
            <w:r w:rsidRPr="00DA760E">
              <w:t>1-</w:t>
            </w:r>
            <w:r w:rsidR="00AD33AD">
              <w:t>150</w:t>
            </w:r>
            <w:r w:rsidRPr="00DA760E">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DA760E" w:rsidRDefault="007357CB" w:rsidP="007357CB">
            <w:pPr>
              <w:jc w:val="center"/>
            </w:pPr>
            <w:proofErr w:type="gramStart"/>
            <w:r w:rsidRPr="00DA760E">
              <w:t>T(</w:t>
            </w:r>
            <w:proofErr w:type="gramEnd"/>
            <w:r w:rsidRPr="00DA760E">
              <w:t>1-</w:t>
            </w:r>
            <w:r w:rsidR="00AD33AD">
              <w:t>150</w:t>
            </w:r>
            <w:r w:rsidRPr="00DA760E">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3"/>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6" w:name="_Ref106284773"/>
      <w:r w:rsidRPr="005A645B">
        <w:t xml:space="preserve">Таблица 6. </w:t>
      </w:r>
      <w:r w:rsidR="007E43C5" w:rsidRPr="00DA760E">
        <w:t>Информация о причине обращения</w:t>
      </w:r>
    </w:p>
    <w:bookmarkEnd w:id="6"/>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7" w:name="_Hlk106134424"/>
    </w:p>
    <w:p w14:paraId="10CC5804" w14:textId="1507AA38" w:rsidR="00A27434" w:rsidRPr="001E20BB" w:rsidRDefault="005A645B" w:rsidP="00DA760E">
      <w:pPr>
        <w:pStyle w:val="3"/>
      </w:pPr>
      <w:bookmarkStart w:id="8"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8"/>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9" w:name="_Ref106795513"/>
      <w:r w:rsidRPr="00746830">
        <w:lastRenderedPageBreak/>
        <w:t xml:space="preserve">Таблица </w:t>
      </w:r>
      <w:r w:rsidR="00504805">
        <w:fldChar w:fldCharType="begin"/>
      </w:r>
      <w:r w:rsidR="00504805">
        <w:instrText xml:space="preserve"> SEQ Таблица \* ARABIC </w:instrText>
      </w:r>
      <w:r w:rsidR="00504805">
        <w:fldChar w:fldCharType="separate"/>
      </w:r>
      <w:r w:rsidR="00903B53" w:rsidRPr="00746830">
        <w:t>9</w:t>
      </w:r>
      <w:r w:rsidR="00504805">
        <w:fldChar w:fldCharType="end"/>
      </w:r>
      <w:bookmarkEnd w:id="9"/>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10"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1" w:name="_Hlk106137497"/>
      <w:bookmarkEnd w:id="10"/>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1"/>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2"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2"/>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3"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3"/>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4" w:name="_Ref106981972"/>
      <w:bookmarkStart w:id="15" w:name="_Ref106985306"/>
      <w:bookmarkStart w:id="16" w:name="_Toc107214674"/>
      <w:bookmarkStart w:id="17" w:name="_Hlk106236436"/>
      <w:r w:rsidRPr="00526378">
        <w:lastRenderedPageBreak/>
        <w:t xml:space="preserve">Таблица </w:t>
      </w:r>
      <w:bookmarkEnd w:id="14"/>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5"/>
      <w:r>
        <w:t>Колво</w:t>
      </w:r>
      <w:r w:rsidR="00947A15">
        <w:t>Парам</w:t>
      </w:r>
      <w:proofErr w:type="spellEnd"/>
      <w:r w:rsidRPr="00526378">
        <w:rPr>
          <w:bCs/>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DA760E" w:rsidRDefault="0022742B" w:rsidP="0022742B">
            <w:pPr>
              <w:jc w:val="center"/>
            </w:pPr>
            <w:r w:rsidRPr="0022742B">
              <w:t>Т (1</w:t>
            </w:r>
            <w:r w:rsidR="00AD33AD">
              <w:t>-50</w:t>
            </w:r>
            <w:r w:rsidRPr="0022742B">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C851C1" w:rsidRDefault="00C851C1" w:rsidP="00875F88">
            <w:pPr>
              <w:jc w:val="center"/>
              <w:rPr>
                <w:lang w:val="en-US"/>
              </w:rPr>
            </w:pPr>
            <w:proofErr w:type="gramStart"/>
            <w:r>
              <w:rPr>
                <w:lang w:val="en-US"/>
              </w:rPr>
              <w:t>N(</w:t>
            </w:r>
            <w:proofErr w:type="gramEnd"/>
            <w:r>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2E1A0B34" w:rsidR="00875F88" w:rsidRPr="001B7B23" w:rsidRDefault="00875F88" w:rsidP="004D72A3">
            <w:r w:rsidRPr="00930B5B">
              <w:t>Важно соблюдать условие</w:t>
            </w:r>
            <w:r w:rsidR="001757A0" w:rsidRPr="00C851C1">
              <w:t>:</w:t>
            </w:r>
            <w:r w:rsidRPr="00930B5B">
              <w:t xml:space="preserve">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lastRenderedPageBreak/>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7"/>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lastRenderedPageBreak/>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 xml:space="preserve">продавцами </w:t>
            </w:r>
            <w:r w:rsidRPr="00DA760E">
              <w:rPr>
                <w:sz w:val="23"/>
                <w:szCs w:val="23"/>
              </w:rPr>
              <w:lastRenderedPageBreak/>
              <w:t>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lastRenderedPageBreak/>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1803F" w14:textId="77777777" w:rsidR="00504805" w:rsidRDefault="00504805">
      <w:r>
        <w:separator/>
      </w:r>
    </w:p>
  </w:endnote>
  <w:endnote w:type="continuationSeparator" w:id="0">
    <w:p w14:paraId="77C5DA01" w14:textId="77777777" w:rsidR="00504805" w:rsidRDefault="00504805">
      <w:r>
        <w:continuationSeparator/>
      </w:r>
    </w:p>
  </w:endnote>
  <w:endnote w:type="continuationNotice" w:id="1">
    <w:p w14:paraId="20D39DB0" w14:textId="77777777" w:rsidR="00504805" w:rsidRDefault="00504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0000000000000000000"/>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EE3686" w:rsidRDefault="00EE3686"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EE3686" w:rsidRDefault="00EE3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0D585329" w:rsidR="00EE3686" w:rsidRDefault="00EE3686">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EE3686" w:rsidRDefault="00EE3686">
    <w:pPr>
      <w:pStyle w:val="aff3"/>
    </w:pPr>
  </w:p>
  <w:p w14:paraId="6A5D76B1" w14:textId="77777777" w:rsidR="00EE3686" w:rsidRDefault="00EE36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3A78B3EE" w14:textId="46034D97" w:rsidR="00EE3686" w:rsidRDefault="00EE3686">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EE3686" w:rsidRPr="006A6ADF" w:rsidRDefault="00EE3686"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2718FE96" w14:textId="0922C38E" w:rsidR="00EE3686" w:rsidRDefault="00EE3686">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EE3686" w:rsidRPr="00724A6A" w:rsidRDefault="00EE3686"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5A73864D" w:rsidR="00EE3686" w:rsidRDefault="00EE3686">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EE3686" w:rsidRPr="006A6ADF" w:rsidRDefault="00EE3686"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2FAA32C" w:rsidR="00EE3686" w:rsidRDefault="00EE3686">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EE3686" w:rsidRPr="00724A6A" w:rsidRDefault="00EE3686"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00A15" w14:textId="77777777" w:rsidR="00504805" w:rsidRDefault="00504805">
      <w:r>
        <w:separator/>
      </w:r>
    </w:p>
  </w:footnote>
  <w:footnote w:type="continuationSeparator" w:id="0">
    <w:p w14:paraId="4838A77E" w14:textId="77777777" w:rsidR="00504805" w:rsidRDefault="00504805">
      <w:r>
        <w:continuationSeparator/>
      </w:r>
    </w:p>
  </w:footnote>
  <w:footnote w:type="continuationNotice" w:id="1">
    <w:p w14:paraId="4DBA551E" w14:textId="77777777" w:rsidR="00504805" w:rsidRDefault="00504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EE3686" w:rsidRDefault="00EE3686"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EE3686" w:rsidRDefault="00EE3686">
    <w:pPr>
      <w:pStyle w:val="a8"/>
    </w:pPr>
  </w:p>
  <w:p w14:paraId="002A5479" w14:textId="77777777" w:rsidR="00EE3686" w:rsidRDefault="00EE36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EE3686" w:rsidRDefault="00EE3686">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EE3686" w:rsidRDefault="00EE3686">
    <w:pPr>
      <w:ind w:right="360"/>
    </w:pPr>
  </w:p>
  <w:p w14:paraId="1797BBAF" w14:textId="77777777" w:rsidR="00EE3686" w:rsidRDefault="00EE36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EE3686" w:rsidRPr="00724A6A" w:rsidRDefault="00EE3686">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EE3686" w:rsidRDefault="00EE3686">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EE3686" w:rsidRDefault="00EE3686">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EE3686" w:rsidRDefault="00EE3686">
    <w:pPr>
      <w:ind w:right="360"/>
    </w:pPr>
  </w:p>
  <w:p w14:paraId="18DA1DA5" w14:textId="77777777" w:rsidR="00EE3686" w:rsidRDefault="00EE368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EE3686" w:rsidRPr="00724A6A" w:rsidRDefault="00EE3686">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EE3686" w:rsidRDefault="00EE368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49A"/>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805"/>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ABA"/>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89D9C071-1952-4531-9AEB-322CA344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36</Pages>
  <Words>5956</Words>
  <Characters>33951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65</cp:revision>
  <cp:lastPrinted>2022-06-16T10:01:00Z</cp:lastPrinted>
  <dcterms:created xsi:type="dcterms:W3CDTF">2022-06-24T11:09:00Z</dcterms:created>
  <dcterms:modified xsi:type="dcterms:W3CDTF">2022-09-01T10:15:00Z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