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BA84B60" w14:textId="1C51D0F4" w:rsidR="00C1574C" w:rsidRDefault="00001AA1" w:rsidP="00802660">
      <w:pPr>
        <w:pStyle w:val="Heading1"/>
      </w:pPr>
      <w:r>
        <w:t>Data Protection Mapping Project How-To Guide</w:t>
      </w:r>
    </w:p>
    <w:p w14:paraId="32608FB9" w14:textId="77777777" w:rsidR="00D95C9B" w:rsidRDefault="00D95C9B" w:rsidP="00802660">
      <w:pPr>
        <w:pStyle w:val="Heading2"/>
      </w:pPr>
      <w:r>
        <w:t>Contacts:</w:t>
      </w:r>
    </w:p>
    <w:p w14:paraId="7D993007" w14:textId="09C9EE58" w:rsidR="00D95C9B" w:rsidRPr="00001AA1" w:rsidRDefault="00B714D6">
      <w:pPr>
        <w:rPr>
          <w:rFonts w:ascii="Segoe UI" w:hAnsi="Segoe UI" w:cs="Segoe UI"/>
          <w:color w:val="24292E"/>
          <w:shd w:val="clear" w:color="auto" w:fill="FFFFFF"/>
        </w:rPr>
      </w:pPr>
      <w:r>
        <w:rPr>
          <w:rFonts w:ascii="Segoe UI" w:hAnsi="Segoe UI" w:cs="Segoe UI"/>
          <w:color w:val="24292E"/>
          <w:shd w:val="clear" w:color="auto" w:fill="FFFFFF"/>
        </w:rPr>
        <w:t xml:space="preserve">Project Owner: </w:t>
      </w:r>
      <w:r w:rsidR="00D95C9B">
        <w:rPr>
          <w:rFonts w:ascii="Segoe UI" w:hAnsi="Segoe UI" w:cs="Segoe UI"/>
          <w:color w:val="24292E"/>
          <w:shd w:val="clear" w:color="auto" w:fill="FFFFFF"/>
        </w:rPr>
        <w:t>Alex Li </w:t>
      </w:r>
      <w:hyperlink r:id="rId7" w:history="1">
        <w:r w:rsidR="00D95C9B" w:rsidRPr="000360F6">
          <w:rPr>
            <w:rStyle w:val="Hyperlink"/>
            <w:rFonts w:ascii="Segoe UI" w:hAnsi="Segoe UI" w:cs="Segoe UI"/>
            <w:shd w:val="clear" w:color="auto" w:fill="FFFFFF"/>
          </w:rPr>
          <w:t>alli@microsoft.com</w:t>
        </w:r>
      </w:hyperlink>
      <w:r w:rsidR="00D95C9B">
        <w:rPr>
          <w:rFonts w:ascii="Segoe UI" w:hAnsi="Segoe UI" w:cs="Segoe UI"/>
          <w:color w:val="24292E"/>
          <w:shd w:val="clear" w:color="auto" w:fill="FFFFFF"/>
        </w:rPr>
        <w:t xml:space="preserve">, </w:t>
      </w:r>
    </w:p>
    <w:p w14:paraId="78D46F2C" w14:textId="77777777" w:rsidR="00D95C9B" w:rsidRPr="00D95C9B" w:rsidRDefault="00D95C9B" w:rsidP="00802660">
      <w:pPr>
        <w:pStyle w:val="Heading2"/>
      </w:pPr>
      <w:r w:rsidRPr="00D95C9B">
        <w:t>Location:</w:t>
      </w:r>
    </w:p>
    <w:p w14:paraId="08B9D89C" w14:textId="5AA8AAD8" w:rsidR="006D14C2" w:rsidRDefault="00001AA1">
      <w:r>
        <w:t xml:space="preserve">GitHub </w:t>
      </w:r>
      <w:r w:rsidR="00D95C9B">
        <w:t xml:space="preserve">Repo location: </w:t>
      </w:r>
      <w:hyperlink r:id="rId8" w:history="1">
        <w:r w:rsidR="005C6A78">
          <w:rPr>
            <w:rStyle w:val="Hyperlink"/>
          </w:rPr>
          <w:t>https://github.com/microsoft/data-protection-mapping-project</w:t>
        </w:r>
      </w:hyperlink>
    </w:p>
    <w:p w14:paraId="5CB78241" w14:textId="0CC0FD93" w:rsidR="00D95C9B" w:rsidRDefault="00D95C9B">
      <w:r>
        <w:t>Public URL:</w:t>
      </w:r>
      <w:r w:rsidR="004352D0">
        <w:t xml:space="preserve"> </w:t>
      </w:r>
      <w:hyperlink r:id="rId9" w:history="1">
        <w:r w:rsidR="004352D0" w:rsidRPr="007C54CF">
          <w:rPr>
            <w:rStyle w:val="Hyperlink"/>
          </w:rPr>
          <w:t>https://aka.ms/dpmap</w:t>
        </w:r>
      </w:hyperlink>
      <w:r w:rsidR="004352D0">
        <w:t xml:space="preserve"> or</w:t>
      </w:r>
      <w:r>
        <w:t xml:space="preserve"> </w:t>
      </w:r>
      <w:hyperlink r:id="rId10" w:history="1">
        <w:r w:rsidR="005C6A78">
          <w:rPr>
            <w:rStyle w:val="Hyperlink"/>
          </w:rPr>
          <w:t>https://dataprotectionmapping.z21.web.core.windows.net</w:t>
        </w:r>
      </w:hyperlink>
    </w:p>
    <w:p w14:paraId="16750B25" w14:textId="77777777" w:rsidR="006D14C2" w:rsidRPr="00D95C9B" w:rsidRDefault="00D95C9B" w:rsidP="00802660">
      <w:pPr>
        <w:pStyle w:val="Heading2"/>
      </w:pPr>
      <w:r w:rsidRPr="00D95C9B">
        <w:t>General overview</w:t>
      </w:r>
      <w:r w:rsidR="006D14C2" w:rsidRPr="00D95C9B">
        <w:t>:</w:t>
      </w:r>
    </w:p>
    <w:p w14:paraId="6861F703" w14:textId="36BF1135" w:rsidR="00DD1574" w:rsidRDefault="00001AA1">
      <w:r>
        <w:t xml:space="preserve">The purpose of this project is outlined in the GitHub Readme file: </w:t>
      </w:r>
      <w:hyperlink r:id="rId11" w:history="1">
        <w:r w:rsidRPr="000D6A85">
          <w:rPr>
            <w:rStyle w:val="Hyperlink"/>
          </w:rPr>
          <w:t>https://github.com/microsoft/data-protection-mapping-project/blob/master/README.md</w:t>
        </w:r>
      </w:hyperlink>
      <w:r>
        <w:t xml:space="preserve">. The Readme file outlines the rationale behind the project and how it intends to operate. This document explains how to navigate </w:t>
      </w:r>
      <w:r w:rsidR="00802660">
        <w:t>the user interface</w:t>
      </w:r>
      <w:r>
        <w:t xml:space="preserve"> </w:t>
      </w:r>
      <w:r w:rsidR="00802660">
        <w:t xml:space="preserve">of the </w:t>
      </w:r>
      <w:r>
        <w:t>tool, describe the data structure for those who want to view and edit the mapping dataset, and explain how to run and host the app at your local machine.</w:t>
      </w:r>
    </w:p>
    <w:p w14:paraId="2FD304AF" w14:textId="107159EF" w:rsidR="00802660" w:rsidRDefault="00802660" w:rsidP="00802660">
      <w:pPr>
        <w:pStyle w:val="Heading2"/>
      </w:pPr>
      <w:r>
        <w:t>The User Interface</w:t>
      </w:r>
    </w:p>
    <w:p w14:paraId="6793D999" w14:textId="02912341" w:rsidR="00802660" w:rsidRPr="00802660" w:rsidRDefault="00802660" w:rsidP="00802660">
      <w:r>
        <w:t>The user interface consists of two areas—one for adding and filtering relevant regulations and standards on the left (see figure 1); another to display the mapping on the right (see figure 2).</w:t>
      </w:r>
    </w:p>
    <w:p w14:paraId="4098184C" w14:textId="77777777" w:rsidR="00802660" w:rsidRDefault="00802660" w:rsidP="00802660">
      <w:pPr>
        <w:keepNext/>
      </w:pPr>
      <w:r>
        <w:rPr>
          <w:noProof/>
        </w:rPr>
        <w:drawing>
          <wp:inline distT="0" distB="0" distL="0" distR="0" wp14:anchorId="6B20C0B2" wp14:editId="1B7A524B">
            <wp:extent cx="4229100" cy="2914650"/>
            <wp:effectExtent l="0" t="0" r="0" b="0"/>
            <wp:docPr id="1" name="Picture 1" descr="Filter pane highlighted on the lef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29100" cy="2914650"/>
                    </a:xfrm>
                    <a:prstGeom prst="rect">
                      <a:avLst/>
                    </a:prstGeom>
                    <a:noFill/>
                    <a:ln>
                      <a:noFill/>
                    </a:ln>
                  </pic:spPr>
                </pic:pic>
              </a:graphicData>
            </a:graphic>
          </wp:inline>
        </w:drawing>
      </w:r>
    </w:p>
    <w:p w14:paraId="51BE4FF3" w14:textId="7BFB620C" w:rsidR="00001AA1" w:rsidRDefault="00802660" w:rsidP="00802660">
      <w:pPr>
        <w:pStyle w:val="Caption"/>
      </w:pPr>
      <w:r>
        <w:t xml:space="preserve">Figure </w:t>
      </w:r>
      <w:r w:rsidR="00933992">
        <w:fldChar w:fldCharType="begin"/>
      </w:r>
      <w:r w:rsidR="00933992">
        <w:instrText xml:space="preserve"> SEQ Figure \* ARABIC </w:instrText>
      </w:r>
      <w:r w:rsidR="00933992">
        <w:fldChar w:fldCharType="separate"/>
      </w:r>
      <w:r w:rsidR="00871312">
        <w:rPr>
          <w:noProof/>
        </w:rPr>
        <w:t>1</w:t>
      </w:r>
      <w:r w:rsidR="00933992">
        <w:rPr>
          <w:noProof/>
        </w:rPr>
        <w:fldChar w:fldCharType="end"/>
      </w:r>
      <w:r>
        <w:t>: Filter Pane</w:t>
      </w:r>
    </w:p>
    <w:p w14:paraId="1FD15C4C" w14:textId="77777777" w:rsidR="00802660" w:rsidRDefault="00802660" w:rsidP="00802660">
      <w:pPr>
        <w:keepNext/>
      </w:pPr>
      <w:r>
        <w:rPr>
          <w:noProof/>
        </w:rPr>
        <w:drawing>
          <wp:inline distT="0" distB="0" distL="0" distR="0" wp14:anchorId="1B769CDD" wp14:editId="7C814A19">
            <wp:extent cx="4229100" cy="2914650"/>
            <wp:effectExtent l="0" t="0" r="0" b="0"/>
            <wp:docPr id="5" name="Picture 5" descr="Mapping Display on the r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29100" cy="2914650"/>
                    </a:xfrm>
                    <a:prstGeom prst="rect">
                      <a:avLst/>
                    </a:prstGeom>
                    <a:noFill/>
                    <a:ln>
                      <a:noFill/>
                    </a:ln>
                  </pic:spPr>
                </pic:pic>
              </a:graphicData>
            </a:graphic>
          </wp:inline>
        </w:drawing>
      </w:r>
    </w:p>
    <w:p w14:paraId="114E1C8A" w14:textId="6BDC7498" w:rsidR="00FE5E22" w:rsidRDefault="00802660" w:rsidP="00802660">
      <w:pPr>
        <w:pStyle w:val="Caption"/>
      </w:pPr>
      <w:r>
        <w:t xml:space="preserve">Figure </w:t>
      </w:r>
      <w:r w:rsidR="00933992">
        <w:fldChar w:fldCharType="begin"/>
      </w:r>
      <w:r w:rsidR="00933992">
        <w:instrText xml:space="preserve"> SEQ Figure \* ARABIC </w:instrText>
      </w:r>
      <w:r w:rsidR="00933992">
        <w:fldChar w:fldCharType="separate"/>
      </w:r>
      <w:r w:rsidR="00871312">
        <w:rPr>
          <w:noProof/>
        </w:rPr>
        <w:t>2</w:t>
      </w:r>
      <w:r w:rsidR="00933992">
        <w:rPr>
          <w:noProof/>
        </w:rPr>
        <w:fldChar w:fldCharType="end"/>
      </w:r>
      <w:r>
        <w:t xml:space="preserve"> Mapping Display</w:t>
      </w:r>
    </w:p>
    <w:p w14:paraId="5C74C6F4" w14:textId="77777777" w:rsidR="00CA7287" w:rsidRDefault="00CA7287" w:rsidP="00CA7287">
      <w:pPr>
        <w:pStyle w:val="Heading3"/>
      </w:pPr>
      <w:r>
        <w:t>Adding regulations for mapping display</w:t>
      </w:r>
    </w:p>
    <w:p w14:paraId="1BB98785" w14:textId="10E8A006" w:rsidR="00802660" w:rsidRDefault="00802660" w:rsidP="00802660">
      <w:r>
        <w:t xml:space="preserve">The tool displays ISO/IEC 27701 on view permanently since all mappings orient around the standard. To see how regulations and requirements map to ISO/IEC 27701, </w:t>
      </w:r>
      <w:r w:rsidR="00CC5AA6">
        <w:t>click on the “+” icon on the top. A list of mapped regulations will be shown (see figure 3).</w:t>
      </w:r>
    </w:p>
    <w:p w14:paraId="282689E0" w14:textId="77777777" w:rsidR="00CC5AA6" w:rsidRDefault="00CC5AA6" w:rsidP="00CC5AA6">
      <w:pPr>
        <w:keepNext/>
      </w:pPr>
      <w:r>
        <w:rPr>
          <w:noProof/>
        </w:rPr>
        <w:drawing>
          <wp:inline distT="0" distB="0" distL="0" distR="0" wp14:anchorId="656771BB" wp14:editId="73594AA6">
            <wp:extent cx="4105275" cy="3295650"/>
            <wp:effectExtent l="0" t="0" r="9525" b="0"/>
            <wp:docPr id="6" name="Picture 6" descr="Available regulations listed from filter pa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105275" cy="3295650"/>
                    </a:xfrm>
                    <a:prstGeom prst="rect">
                      <a:avLst/>
                    </a:prstGeom>
                    <a:noFill/>
                    <a:ln>
                      <a:noFill/>
                    </a:ln>
                  </pic:spPr>
                </pic:pic>
              </a:graphicData>
            </a:graphic>
          </wp:inline>
        </w:drawing>
      </w:r>
    </w:p>
    <w:p w14:paraId="1C1F034A" w14:textId="5D3F65DC" w:rsidR="00CC5AA6" w:rsidRDefault="00CC5AA6" w:rsidP="00CC5AA6">
      <w:pPr>
        <w:pStyle w:val="Caption"/>
      </w:pPr>
      <w:r>
        <w:t xml:space="preserve">Figure </w:t>
      </w:r>
      <w:r w:rsidR="00933992">
        <w:fldChar w:fldCharType="begin"/>
      </w:r>
      <w:r w:rsidR="00933992">
        <w:instrText xml:space="preserve"> SEQ Figure \* ARABIC </w:instrText>
      </w:r>
      <w:r w:rsidR="00933992">
        <w:fldChar w:fldCharType="separate"/>
      </w:r>
      <w:r w:rsidR="00871312">
        <w:rPr>
          <w:noProof/>
        </w:rPr>
        <w:t>3</w:t>
      </w:r>
      <w:r w:rsidR="00933992">
        <w:rPr>
          <w:noProof/>
        </w:rPr>
        <w:fldChar w:fldCharType="end"/>
      </w:r>
      <w:r>
        <w:t xml:space="preserve"> Available regulations listed from filter pane</w:t>
      </w:r>
    </w:p>
    <w:p w14:paraId="2B3D7151" w14:textId="041B0887" w:rsidR="00CC5AA6" w:rsidRDefault="00CC5AA6" w:rsidP="00CC5AA6">
      <w:r>
        <w:t>User may add up to two regulations to be added. For example, GDPR and California CCPA are added in the following screen shot (see figure 4).</w:t>
      </w:r>
      <w:r w:rsidR="00C9478A">
        <w:t xml:space="preserve"> To dismiss any of the regulation from the mapping display, user can click on the “X” icon to the right of the regulation.</w:t>
      </w:r>
      <w:r w:rsidR="007262A2">
        <w:t xml:space="preserve"> Where available, a </w:t>
      </w:r>
      <w:r w:rsidR="004D0D7E">
        <w:t>direct link to the regulatory text is provided</w:t>
      </w:r>
      <w:r w:rsidR="00572A69">
        <w:t xml:space="preserve">. </w:t>
      </w:r>
      <w:r w:rsidR="00EE0283">
        <w:t xml:space="preserve">All blue underlined numbers in GDPR as seen in figure </w:t>
      </w:r>
      <w:r w:rsidR="00A278B6">
        <w:t>4, for example, are directly linked to the corresponding articles</w:t>
      </w:r>
      <w:r w:rsidR="006A430B">
        <w:t>.</w:t>
      </w:r>
    </w:p>
    <w:p w14:paraId="7D87262B" w14:textId="77777777" w:rsidR="00CC5AA6" w:rsidRDefault="00CC5AA6" w:rsidP="00CC5AA6">
      <w:pPr>
        <w:keepNext/>
      </w:pPr>
      <w:r w:rsidRPr="00CC5AA6">
        <w:rPr>
          <w:noProof/>
        </w:rPr>
        <w:drawing>
          <wp:inline distT="0" distB="0" distL="0" distR="0" wp14:anchorId="6DD68452" wp14:editId="46B0C10D">
            <wp:extent cx="4980609" cy="2350135"/>
            <wp:effectExtent l="0" t="0" r="0" b="0"/>
            <wp:docPr id="7" name="Picture 7" descr="Unfiltered view of GDPR and CCPA mapping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Unfiltered view of GDPR and CCPA mappings"/>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80609" cy="2350135"/>
                    </a:xfrm>
                    <a:prstGeom prst="rect">
                      <a:avLst/>
                    </a:prstGeom>
                  </pic:spPr>
                </pic:pic>
              </a:graphicData>
            </a:graphic>
          </wp:inline>
        </w:drawing>
      </w:r>
    </w:p>
    <w:p w14:paraId="0DEF05D3" w14:textId="018B28CE" w:rsidR="00CC5AA6" w:rsidRDefault="00CC5AA6" w:rsidP="00CC5AA6">
      <w:pPr>
        <w:pStyle w:val="Caption"/>
      </w:pPr>
      <w:r>
        <w:t xml:space="preserve">Figure </w:t>
      </w:r>
      <w:r w:rsidR="00933992">
        <w:fldChar w:fldCharType="begin"/>
      </w:r>
      <w:r w:rsidR="00933992">
        <w:instrText xml:space="preserve"> SEQ Figure \* ARABIC </w:instrText>
      </w:r>
      <w:r w:rsidR="00933992">
        <w:fldChar w:fldCharType="separate"/>
      </w:r>
      <w:r w:rsidR="00871312">
        <w:rPr>
          <w:noProof/>
        </w:rPr>
        <w:t>4</w:t>
      </w:r>
      <w:r w:rsidR="00933992">
        <w:rPr>
          <w:noProof/>
        </w:rPr>
        <w:fldChar w:fldCharType="end"/>
      </w:r>
      <w:r>
        <w:t xml:space="preserve"> Unfiltered view of GDPR and CCPA mappings</w:t>
      </w:r>
    </w:p>
    <w:p w14:paraId="3A04351E" w14:textId="0439F276" w:rsidR="00A065BB" w:rsidRDefault="00A065BB" w:rsidP="00A065BB">
      <w:pPr>
        <w:pStyle w:val="Heading3"/>
      </w:pPr>
      <w:r>
        <w:t>Select the regulations or standard to filter</w:t>
      </w:r>
    </w:p>
    <w:p w14:paraId="0437E2E0" w14:textId="2A6473B7" w:rsidR="00CC5AA6" w:rsidRDefault="00CC5AA6" w:rsidP="00CC5AA6">
      <w:r>
        <w:t xml:space="preserve">Since most regulations are rather lengthy and the corresponding mapping very extensive, filtering is necessary to make sense out of the mapping. To apply filtering, </w:t>
      </w:r>
      <w:r w:rsidR="001F1F9D">
        <w:t xml:space="preserve">users need to select which regulation or ISO/IEC 27701 to use for filtering. The blue bar underneath the top left of the filtering pane indicates which regulation or standard to use for filtering. Click on any of the regulations or standard to select. </w:t>
      </w:r>
      <w:r w:rsidR="00FC38AE">
        <w:t xml:space="preserve">Only one can be selected for filtering at a time. </w:t>
      </w:r>
      <w:r w:rsidR="001F1F9D">
        <w:t>For example, we will start with filtering by GDPR (see figure 5).</w:t>
      </w:r>
    </w:p>
    <w:p w14:paraId="50E317E3" w14:textId="77777777" w:rsidR="001F1F9D" w:rsidRDefault="001F1F9D" w:rsidP="001F1F9D">
      <w:pPr>
        <w:keepNext/>
      </w:pPr>
      <w:r>
        <w:rPr>
          <w:noProof/>
        </w:rPr>
        <w:drawing>
          <wp:inline distT="0" distB="0" distL="0" distR="0" wp14:anchorId="2D4BAF50" wp14:editId="012EDFAD">
            <wp:extent cx="5943600" cy="2761545"/>
            <wp:effectExtent l="0" t="0" r="0" b="1270"/>
            <wp:docPr id="8" name="Picture 8" descr="Figure 5 GDPR selected for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Figure 5 GDPR selected for filtering"/>
                    <pic:cNvPicPr>
                      <a:picLocks noChangeAspect="1" noChangeArrowheads="1"/>
                    </pic:cNvPicPr>
                  </pic:nvPicPr>
                  <pic:blipFill>
                    <a:blip r:embed="rId16" cstate="print">
                      <a:extLst>
                        <a:ext uri="{28A0092B-C50C-407E-A947-70E740481C1C}">
                          <a14:useLocalDpi xmlns:a14="http://schemas.microsoft.com/office/drawing/2010/main" val="0"/>
                        </a:ext>
                      </a:extLst>
                    </a:blip>
                    <a:stretch>
                      <a:fillRect/>
                    </a:stretch>
                  </pic:blipFill>
                  <pic:spPr bwMode="auto">
                    <a:xfrm>
                      <a:off x="0" y="0"/>
                      <a:ext cx="5943600" cy="2761545"/>
                    </a:xfrm>
                    <a:prstGeom prst="rect">
                      <a:avLst/>
                    </a:prstGeom>
                    <a:noFill/>
                    <a:ln>
                      <a:noFill/>
                    </a:ln>
                  </pic:spPr>
                </pic:pic>
              </a:graphicData>
            </a:graphic>
          </wp:inline>
        </w:drawing>
      </w:r>
    </w:p>
    <w:p w14:paraId="1041B027" w14:textId="75200278" w:rsidR="001F1F9D" w:rsidRDefault="001F1F9D" w:rsidP="001F1F9D">
      <w:pPr>
        <w:pStyle w:val="Caption"/>
      </w:pPr>
      <w:r>
        <w:t xml:space="preserve">Figure </w:t>
      </w:r>
      <w:r w:rsidR="00933992">
        <w:fldChar w:fldCharType="begin"/>
      </w:r>
      <w:r w:rsidR="00933992">
        <w:instrText xml:space="preserve"> SEQ Figure \* ARABIC </w:instrText>
      </w:r>
      <w:r w:rsidR="00933992">
        <w:fldChar w:fldCharType="separate"/>
      </w:r>
      <w:r w:rsidR="00871312">
        <w:rPr>
          <w:noProof/>
        </w:rPr>
        <w:t>5</w:t>
      </w:r>
      <w:r w:rsidR="00933992">
        <w:rPr>
          <w:noProof/>
        </w:rPr>
        <w:fldChar w:fldCharType="end"/>
      </w:r>
      <w:r>
        <w:t xml:space="preserve"> GDPR selected for filtering</w:t>
      </w:r>
    </w:p>
    <w:p w14:paraId="3D77C78F" w14:textId="3B7A50A5" w:rsidR="00A065BB" w:rsidRDefault="00A065BB" w:rsidP="00A065BB">
      <w:pPr>
        <w:pStyle w:val="Heading3"/>
      </w:pPr>
      <w:r>
        <w:t>Navigating the Hierarchy</w:t>
      </w:r>
    </w:p>
    <w:p w14:paraId="47151770" w14:textId="2429AA3E" w:rsidR="001F1F9D" w:rsidRDefault="001F1F9D" w:rsidP="00CC5AA6">
      <w:r>
        <w:t xml:space="preserve">User may select any </w:t>
      </w:r>
      <w:r w:rsidR="00A065BB">
        <w:t xml:space="preserve">part(s) of the regulations or standard to filter. Some regulations and standard contain nesting hierarchical structures. An arrow pointing to the right indicates that the corresponding part can be expanded to reveal sub-component. </w:t>
      </w:r>
      <w:r w:rsidR="00CA7287">
        <w:t xml:space="preserve">When there is no arrow, it indicates that component contains no sub-component with further detail. </w:t>
      </w:r>
      <w:r w:rsidR="00A065BB">
        <w:t xml:space="preserve">An arrow point down indicates that the component has been expanded. User can click on the arrows to expand or contract the hierarchy. For example, the following screen </w:t>
      </w:r>
      <w:r w:rsidR="00CA7287">
        <w:t xml:space="preserve">shot (figure 6) </w:t>
      </w:r>
      <w:r w:rsidR="00A065BB">
        <w:t>shows that Article 6 of GDPR expanded and that Article 6.1 of GDPR can further expand into more detailed components</w:t>
      </w:r>
      <w:r w:rsidR="00CA7287">
        <w:t>, while Article 6.2 is already at the most detailed level.</w:t>
      </w:r>
    </w:p>
    <w:p w14:paraId="4E517BB7" w14:textId="77777777" w:rsidR="00CA7287" w:rsidRDefault="00CA7287" w:rsidP="00CA7287">
      <w:pPr>
        <w:keepNext/>
      </w:pPr>
      <w:r>
        <w:rPr>
          <w:noProof/>
        </w:rPr>
        <w:drawing>
          <wp:inline distT="0" distB="0" distL="0" distR="0" wp14:anchorId="35A70EFE" wp14:editId="4E0CA62A">
            <wp:extent cx="3838575" cy="3790169"/>
            <wp:effectExtent l="0" t="0" r="0" b="1270"/>
            <wp:docPr id="9" name="Picture 9" descr="Figure 6 Hierarchy of GDPR Article 6 and 6.1 sh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Figure 6 Hierarchy of GDPR Article 6 and 6.1 shown"/>
                    <pic:cNvPicPr>
                      <a:picLocks noChangeAspect="1" noChangeArrowheads="1"/>
                    </pic:cNvPicPr>
                  </pic:nvPicPr>
                  <pic:blipFill>
                    <a:blip r:embed="rId17">
                      <a:extLst>
                        <a:ext uri="{28A0092B-C50C-407E-A947-70E740481C1C}">
                          <a14:useLocalDpi xmlns:a14="http://schemas.microsoft.com/office/drawing/2010/main" val="0"/>
                        </a:ext>
                      </a:extLst>
                    </a:blip>
                    <a:stretch>
                      <a:fillRect/>
                    </a:stretch>
                  </pic:blipFill>
                  <pic:spPr bwMode="auto">
                    <a:xfrm>
                      <a:off x="0" y="0"/>
                      <a:ext cx="3838575" cy="3790169"/>
                    </a:xfrm>
                    <a:prstGeom prst="rect">
                      <a:avLst/>
                    </a:prstGeom>
                    <a:noFill/>
                    <a:ln>
                      <a:noFill/>
                    </a:ln>
                  </pic:spPr>
                </pic:pic>
              </a:graphicData>
            </a:graphic>
          </wp:inline>
        </w:drawing>
      </w:r>
    </w:p>
    <w:p w14:paraId="0711CE4E" w14:textId="3F7710DA" w:rsidR="001F1F9D" w:rsidRDefault="00CA7287" w:rsidP="00CA7287">
      <w:pPr>
        <w:pStyle w:val="Caption"/>
      </w:pPr>
      <w:r>
        <w:t xml:space="preserve">Figure </w:t>
      </w:r>
      <w:r w:rsidR="00933992">
        <w:fldChar w:fldCharType="begin"/>
      </w:r>
      <w:r w:rsidR="00933992">
        <w:instrText xml:space="preserve"> SEQ Figure \* ARABIC </w:instrText>
      </w:r>
      <w:r w:rsidR="00933992">
        <w:fldChar w:fldCharType="separate"/>
      </w:r>
      <w:r w:rsidR="00871312">
        <w:rPr>
          <w:noProof/>
        </w:rPr>
        <w:t>6</w:t>
      </w:r>
      <w:r w:rsidR="00933992">
        <w:rPr>
          <w:noProof/>
        </w:rPr>
        <w:fldChar w:fldCharType="end"/>
      </w:r>
      <w:r>
        <w:t xml:space="preserve"> Hierarchy of GDPR Article 6 and 6.1 shown</w:t>
      </w:r>
    </w:p>
    <w:p w14:paraId="7D4C89E1" w14:textId="63750F3B" w:rsidR="00D17D40" w:rsidRDefault="00D17D40" w:rsidP="00D17D40">
      <w:pPr>
        <w:pStyle w:val="Heading3"/>
      </w:pPr>
      <w:r>
        <w:t>Filtering</w:t>
      </w:r>
    </w:p>
    <w:p w14:paraId="3699E7C5" w14:textId="2612AB03" w:rsidR="00CA7287" w:rsidRDefault="00CA7287" w:rsidP="00CA7287">
      <w:r>
        <w:t>A checkbox toggles the filtering. User may filter by one or more comp</w:t>
      </w:r>
      <w:r w:rsidR="00D17D40">
        <w:t>onents. Once the checkbox is checked, the mapping display on the right changes to reflect the new filtered view. In our example, we checked GDPR Article 6.2 (see figure 7). The yellow box reminds the user which regulation or standard is used for filtering.</w:t>
      </w:r>
    </w:p>
    <w:p w14:paraId="12520EFC" w14:textId="77777777" w:rsidR="00D17D40" w:rsidRDefault="00D17D40" w:rsidP="00D17D40">
      <w:pPr>
        <w:keepNext/>
      </w:pPr>
      <w:r>
        <w:rPr>
          <w:noProof/>
        </w:rPr>
        <w:drawing>
          <wp:inline distT="0" distB="0" distL="0" distR="0" wp14:anchorId="4F55D295" wp14:editId="41EC3567">
            <wp:extent cx="5133253" cy="2461260"/>
            <wp:effectExtent l="0" t="0" r="0" b="0"/>
            <wp:docPr id="11" name="Picture 11" descr="Figure 7 GDPR Article 6.2 selected for filter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Figure 7 GDPR Article 6.2 selected for filtering"/>
                    <pic:cNvPicPr>
                      <a:picLocks noChangeAspect="1" noChangeArrowheads="1"/>
                    </pic:cNvPicPr>
                  </pic:nvPicPr>
                  <pic:blipFill>
                    <a:blip r:embed="rId18" cstate="print">
                      <a:extLst>
                        <a:ext uri="{28A0092B-C50C-407E-A947-70E740481C1C}">
                          <a14:useLocalDpi xmlns:a14="http://schemas.microsoft.com/office/drawing/2010/main" val="0"/>
                        </a:ext>
                      </a:extLst>
                    </a:blip>
                    <a:stretch>
                      <a:fillRect/>
                    </a:stretch>
                  </pic:blipFill>
                  <pic:spPr bwMode="auto">
                    <a:xfrm>
                      <a:off x="0" y="0"/>
                      <a:ext cx="5133253" cy="2461260"/>
                    </a:xfrm>
                    <a:prstGeom prst="rect">
                      <a:avLst/>
                    </a:prstGeom>
                    <a:noFill/>
                    <a:ln>
                      <a:noFill/>
                    </a:ln>
                  </pic:spPr>
                </pic:pic>
              </a:graphicData>
            </a:graphic>
          </wp:inline>
        </w:drawing>
      </w:r>
    </w:p>
    <w:p w14:paraId="67B9CAA8" w14:textId="349763E9" w:rsidR="00D17D40" w:rsidRDefault="00D17D40" w:rsidP="00D17D40">
      <w:pPr>
        <w:pStyle w:val="Caption"/>
      </w:pPr>
      <w:r>
        <w:t xml:space="preserve">Figure </w:t>
      </w:r>
      <w:r w:rsidR="00933992">
        <w:fldChar w:fldCharType="begin"/>
      </w:r>
      <w:r w:rsidR="00933992">
        <w:instrText xml:space="preserve"> SEQ Figure \* ARABIC </w:instrText>
      </w:r>
      <w:r w:rsidR="00933992">
        <w:fldChar w:fldCharType="separate"/>
      </w:r>
      <w:r w:rsidR="00871312">
        <w:rPr>
          <w:noProof/>
        </w:rPr>
        <w:t>7</w:t>
      </w:r>
      <w:r w:rsidR="00933992">
        <w:rPr>
          <w:noProof/>
        </w:rPr>
        <w:fldChar w:fldCharType="end"/>
      </w:r>
      <w:r>
        <w:t xml:space="preserve"> </w:t>
      </w:r>
      <w:r w:rsidRPr="00F550C1">
        <w:t>GDPR Article 6.2 selected for filtering</w:t>
      </w:r>
    </w:p>
    <w:p w14:paraId="470E710C" w14:textId="0D50D9E3" w:rsidR="00921E94" w:rsidRDefault="00921E94" w:rsidP="00FC38AE">
      <w:pPr>
        <w:pStyle w:val="Heading3"/>
      </w:pPr>
      <w:r>
        <w:t>Highlighting</w:t>
      </w:r>
    </w:p>
    <w:p w14:paraId="6EC9FA56" w14:textId="4B4B1E4E" w:rsidR="00D17D40" w:rsidRDefault="00921E94" w:rsidP="00D17D40">
      <w:r>
        <w:t xml:space="preserve">In case of complex mapping, user can select components on the mapping display to better view the mapping relationship. Selected component is shown in light blue. Mapping links </w:t>
      </w:r>
      <w:r w:rsidR="007A3827">
        <w:t>outline</w:t>
      </w:r>
      <w:r w:rsidR="0059472A">
        <w:t xml:space="preserve">s </w:t>
      </w:r>
      <w:r>
        <w:t>are bolded to enable easy viewing. In the following example, we filtered by GDPR Article 15 which is mapped to many components of ISO/IEC 27701 and CCPA. Then we click on ISO/IEC 27701 clause 7.5.1 to see that it is mapped to GDPR Article 15.2 and CCPA 1798.110 b &amp; c (see figure 8).</w:t>
      </w:r>
    </w:p>
    <w:p w14:paraId="51350CD2" w14:textId="77777777" w:rsidR="00921E94" w:rsidRDefault="00921E94" w:rsidP="00921E94">
      <w:pPr>
        <w:keepNext/>
      </w:pPr>
      <w:r w:rsidRPr="00921E94">
        <w:rPr>
          <w:noProof/>
        </w:rPr>
        <w:drawing>
          <wp:inline distT="0" distB="0" distL="0" distR="0" wp14:anchorId="527D347A" wp14:editId="46865018">
            <wp:extent cx="5347784" cy="2571750"/>
            <wp:effectExtent l="0" t="0" r="5715" b="0"/>
            <wp:docPr id="12" name="Picture 12" descr="Figure 8 ISO/IEC 27701 7.5.1 selected on the mapping displ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Figure 8 ISO/IEC 27701 7.5.1 selected on the mapping display"/>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347784" cy="2571750"/>
                    </a:xfrm>
                    <a:prstGeom prst="rect">
                      <a:avLst/>
                    </a:prstGeom>
                  </pic:spPr>
                </pic:pic>
              </a:graphicData>
            </a:graphic>
          </wp:inline>
        </w:drawing>
      </w:r>
    </w:p>
    <w:p w14:paraId="7B5C00EB" w14:textId="1C6C4C75" w:rsidR="00921E94" w:rsidRDefault="00921E94" w:rsidP="00921E94">
      <w:pPr>
        <w:pStyle w:val="Caption"/>
      </w:pPr>
      <w:r>
        <w:t xml:space="preserve">Figure </w:t>
      </w:r>
      <w:r w:rsidR="00933992">
        <w:fldChar w:fldCharType="begin"/>
      </w:r>
      <w:r w:rsidR="00933992">
        <w:instrText xml:space="preserve"> SEQ Figure \* ARABIC </w:instrText>
      </w:r>
      <w:r w:rsidR="00933992">
        <w:fldChar w:fldCharType="separate"/>
      </w:r>
      <w:r w:rsidR="00871312">
        <w:rPr>
          <w:noProof/>
        </w:rPr>
        <w:t>8</w:t>
      </w:r>
      <w:r w:rsidR="00933992">
        <w:rPr>
          <w:noProof/>
        </w:rPr>
        <w:fldChar w:fldCharType="end"/>
      </w:r>
      <w:r>
        <w:t xml:space="preserve"> </w:t>
      </w:r>
      <w:r w:rsidRPr="00AB29F0">
        <w:t>ISO/IEC 27701 7.5.1 selected on the mapping display</w:t>
      </w:r>
    </w:p>
    <w:p w14:paraId="3D015880" w14:textId="072372DB" w:rsidR="00FC38AE" w:rsidRPr="00FC38AE" w:rsidRDefault="00FC38AE" w:rsidP="00FC38AE">
      <w:pPr>
        <w:pStyle w:val="Heading3"/>
      </w:pPr>
      <w:r>
        <w:t>Search function</w:t>
      </w:r>
    </w:p>
    <w:p w14:paraId="136EC26B" w14:textId="2319D5F7" w:rsidR="00D17D40" w:rsidRDefault="00FC38AE" w:rsidP="00D17D40">
      <w:r>
        <w:t>The filtering pane contains a text search function to help users find the appropriate filter. User start</w:t>
      </w:r>
      <w:r w:rsidR="00C9478A">
        <w:t>s</w:t>
      </w:r>
      <w:r>
        <w:t xml:space="preserve"> with selecting the regulation or standard to be search and type in the text string for filtering. For example, typing in “child” under GDPR identifies Article 8. The text string is highlighted in yellow in the filter pane to aid the user (see figure 9). User still need</w:t>
      </w:r>
      <w:r w:rsidR="00C9478A">
        <w:t>s</w:t>
      </w:r>
      <w:r>
        <w:t xml:space="preserve"> to toggle the checkbox to apply the filter.</w:t>
      </w:r>
      <w:r w:rsidR="00C9478A">
        <w:t xml:space="preserve"> Clicking on the “x” on the right of the text search removes the text search.</w:t>
      </w:r>
    </w:p>
    <w:p w14:paraId="32F0AE5C" w14:textId="77777777" w:rsidR="00FC38AE" w:rsidRDefault="00FC38AE" w:rsidP="00FC38AE">
      <w:pPr>
        <w:keepNext/>
      </w:pPr>
      <w:r w:rsidRPr="00FC38AE">
        <w:rPr>
          <w:noProof/>
        </w:rPr>
        <w:drawing>
          <wp:inline distT="0" distB="0" distL="0" distR="0" wp14:anchorId="4231C118" wp14:editId="27D97E21">
            <wp:extent cx="5205773" cy="2505075"/>
            <wp:effectExtent l="0" t="0" r="0" b="0"/>
            <wp:docPr id="13" name="Picture 13" descr="Figure 9 search for the term &quot;child&quot; under GD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Figure 9 search for the term &quot;child&quot; under GDPR"/>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205773" cy="2505075"/>
                    </a:xfrm>
                    <a:prstGeom prst="rect">
                      <a:avLst/>
                    </a:prstGeom>
                  </pic:spPr>
                </pic:pic>
              </a:graphicData>
            </a:graphic>
          </wp:inline>
        </w:drawing>
      </w:r>
    </w:p>
    <w:p w14:paraId="78C8DE67" w14:textId="17DA8CA1" w:rsidR="00FC38AE" w:rsidRDefault="00FC38AE" w:rsidP="00FC38AE">
      <w:pPr>
        <w:pStyle w:val="Caption"/>
      </w:pPr>
      <w:r>
        <w:t xml:space="preserve">Figure </w:t>
      </w:r>
      <w:r w:rsidR="00933992">
        <w:fldChar w:fldCharType="begin"/>
      </w:r>
      <w:r w:rsidR="00933992">
        <w:instrText xml:space="preserve"> SEQ Figure \* ARABIC </w:instrText>
      </w:r>
      <w:r w:rsidR="00933992">
        <w:fldChar w:fldCharType="separate"/>
      </w:r>
      <w:r w:rsidR="00871312">
        <w:rPr>
          <w:noProof/>
        </w:rPr>
        <w:t>9</w:t>
      </w:r>
      <w:r w:rsidR="00933992">
        <w:rPr>
          <w:noProof/>
        </w:rPr>
        <w:fldChar w:fldCharType="end"/>
      </w:r>
      <w:r>
        <w:t xml:space="preserve"> </w:t>
      </w:r>
      <w:r w:rsidRPr="009356D0">
        <w:t>search for the term "child" under GDPR</w:t>
      </w:r>
    </w:p>
    <w:p w14:paraId="560289AA" w14:textId="2E0282D3" w:rsidR="00921E94" w:rsidRDefault="00C9478A" w:rsidP="00C9478A">
      <w:pPr>
        <w:pStyle w:val="Heading3"/>
      </w:pPr>
      <w:r>
        <w:t>In cases where is no matching component in ISO/IEC 27701</w:t>
      </w:r>
    </w:p>
    <w:p w14:paraId="3161AE4C" w14:textId="5374B622" w:rsidR="00C9478A" w:rsidRDefault="00C9478A" w:rsidP="00D17D40">
      <w:r>
        <w:t>Some relevant regulatory components may not have a corresponding ISO/IEC 27701. This will make cross comparison inoperable. These components are highlighted in red.</w:t>
      </w:r>
      <w:r w:rsidR="00467962">
        <w:t xml:space="preserve"> </w:t>
      </w:r>
      <w:r>
        <w:t>Components at a higher level of the hierarchy are highlighted in pink. The following example shows Australia Privacy Principle 9</w:t>
      </w:r>
      <w:r w:rsidR="00446C01">
        <w:t xml:space="preserve"> with no corresponding match in the mapping (see figure 10).</w:t>
      </w:r>
      <w:r w:rsidR="00CE3438">
        <w:t xml:space="preserve"> &lt;Note: this red and pink highlight feature was accidentally disabled upon our most recent update. The feature will return </w:t>
      </w:r>
      <w:r w:rsidR="004F18D6">
        <w:t>upon the next round of bug fixes</w:t>
      </w:r>
      <w:r w:rsidR="00CE3438">
        <w:t>.&gt;</w:t>
      </w:r>
    </w:p>
    <w:p w14:paraId="6907F06C" w14:textId="77777777" w:rsidR="00446C01" w:rsidRDefault="00446C01" w:rsidP="00446C01">
      <w:pPr>
        <w:keepNext/>
      </w:pPr>
      <w:r w:rsidRPr="00446C01">
        <w:rPr>
          <w:noProof/>
        </w:rPr>
        <w:drawing>
          <wp:inline distT="0" distB="0" distL="0" distR="0" wp14:anchorId="38B6C534" wp14:editId="67BC4F32">
            <wp:extent cx="4431016" cy="2031365"/>
            <wp:effectExtent l="0" t="0" r="8255" b="6985"/>
            <wp:docPr id="14" name="Picture 14" descr="Figure 10 Australian Privacy Principle 9 highligh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Figure 10 Australian Privacy Principle 9 highligh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431016" cy="2031365"/>
                    </a:xfrm>
                    <a:prstGeom prst="rect">
                      <a:avLst/>
                    </a:prstGeom>
                  </pic:spPr>
                </pic:pic>
              </a:graphicData>
            </a:graphic>
          </wp:inline>
        </w:drawing>
      </w:r>
    </w:p>
    <w:p w14:paraId="2DC5BC64" w14:textId="36C50995" w:rsidR="00446C01" w:rsidRDefault="00446C01" w:rsidP="00446C01">
      <w:pPr>
        <w:pStyle w:val="Caption"/>
      </w:pPr>
      <w:r>
        <w:t xml:space="preserve">Figure </w:t>
      </w:r>
      <w:r w:rsidR="00933992">
        <w:fldChar w:fldCharType="begin"/>
      </w:r>
      <w:r w:rsidR="00933992">
        <w:instrText xml:space="preserve"> SEQ Figure \* ARABIC </w:instrText>
      </w:r>
      <w:r w:rsidR="00933992">
        <w:fldChar w:fldCharType="separate"/>
      </w:r>
      <w:r w:rsidR="00871312">
        <w:rPr>
          <w:noProof/>
        </w:rPr>
        <w:t>10</w:t>
      </w:r>
      <w:r w:rsidR="00933992">
        <w:rPr>
          <w:noProof/>
        </w:rPr>
        <w:fldChar w:fldCharType="end"/>
      </w:r>
      <w:r>
        <w:t xml:space="preserve"> </w:t>
      </w:r>
      <w:r w:rsidRPr="00B4095F">
        <w:t>Australian Privacy Principle 9 highlighted</w:t>
      </w:r>
    </w:p>
    <w:p w14:paraId="450E8A88" w14:textId="04BDCB73" w:rsidR="00446C01" w:rsidRDefault="00446C01" w:rsidP="00446C01">
      <w:r>
        <w:t>Where possible, a URL link is provided at all levels to point users to the original regulatory text. All links are shown as blue underlined text in both the filter pane and the mapping display.</w:t>
      </w:r>
    </w:p>
    <w:p w14:paraId="51320271" w14:textId="73ABB2E2" w:rsidR="00B66B72" w:rsidRDefault="00850378" w:rsidP="00850378">
      <w:pPr>
        <w:pStyle w:val="Heading3"/>
      </w:pPr>
      <w:r>
        <w:t>New “Add all” feature</w:t>
      </w:r>
    </w:p>
    <w:p w14:paraId="1EF446F7" w14:textId="2CE68BC1" w:rsidR="00850378" w:rsidRDefault="00611D83" w:rsidP="00446C01">
      <w:r>
        <w:t xml:space="preserve">A new “Add all” feature was introduced in </w:t>
      </w:r>
      <w:r w:rsidR="00582557">
        <w:t>June 2020</w:t>
      </w:r>
      <w:r w:rsidR="002F2310">
        <w:t xml:space="preserve"> to enable comparison across all the mapped regulations. </w:t>
      </w:r>
      <w:r w:rsidR="000A3290">
        <w:t>To use this new feature, c</w:t>
      </w:r>
      <w:r w:rsidR="005C2B4C">
        <w:t>lick the “+” icon and select “All”</w:t>
      </w:r>
      <w:r w:rsidR="00C4117C">
        <w:t>.</w:t>
      </w:r>
      <w:r w:rsidR="000A3290">
        <w:t xml:space="preserve"> For example, </w:t>
      </w:r>
      <w:r w:rsidR="004F76CF">
        <w:t>one</w:t>
      </w:r>
      <w:r w:rsidR="008A5E1B">
        <w:t xml:space="preserve"> </w:t>
      </w:r>
      <w:r w:rsidR="004F76CF">
        <w:t xml:space="preserve">may </w:t>
      </w:r>
      <w:r w:rsidR="008A5E1B">
        <w:t xml:space="preserve">want to see how the data breach notification </w:t>
      </w:r>
      <w:r w:rsidR="00872C53">
        <w:t>requirement differs from all the other mapped regulations</w:t>
      </w:r>
      <w:r w:rsidR="009A229B">
        <w:t xml:space="preserve">. </w:t>
      </w:r>
      <w:r w:rsidR="00402A81">
        <w:t>User</w:t>
      </w:r>
      <w:r w:rsidR="009A229B">
        <w:t xml:space="preserve"> can add GDPR and “All”, and filter by GDPR Article 33</w:t>
      </w:r>
      <w:r w:rsidR="004F76CF">
        <w:t xml:space="preserve"> </w:t>
      </w:r>
      <w:r w:rsidR="00987BC0">
        <w:t xml:space="preserve">(see figure </w:t>
      </w:r>
      <w:r w:rsidR="004F76CF">
        <w:t>11</w:t>
      </w:r>
      <w:r w:rsidR="00987BC0">
        <w:t>)</w:t>
      </w:r>
      <w:r w:rsidR="004F76CF">
        <w:t>.</w:t>
      </w:r>
      <w:r w:rsidR="005A4FFC">
        <w:t xml:space="preserve"> User can </w:t>
      </w:r>
      <w:r w:rsidR="00CE5AC2">
        <w:t xml:space="preserve">see that Hong Kong and Singapore do not have corresponding </w:t>
      </w:r>
      <w:r w:rsidR="00D13D5A">
        <w:t>mapping to GDPR’s Article 33 data breach notification</w:t>
      </w:r>
      <w:r w:rsidR="0022472D">
        <w:t xml:space="preserve"> from the “!” icon</w:t>
      </w:r>
      <w:r w:rsidR="00D13D5A">
        <w:t xml:space="preserve">. </w:t>
      </w:r>
      <w:r w:rsidR="00CC7BCF">
        <w:t xml:space="preserve">User can also expand the </w:t>
      </w:r>
      <w:r w:rsidR="00E7587F">
        <w:t>tree in the display</w:t>
      </w:r>
      <w:r w:rsidR="00330EFB">
        <w:t xml:space="preserve"> area to </w:t>
      </w:r>
      <w:r w:rsidR="0022472D">
        <w:t>read</w:t>
      </w:r>
      <w:r w:rsidR="00330EFB">
        <w:t xml:space="preserve"> the </w:t>
      </w:r>
      <w:r w:rsidR="00D342AF">
        <w:t>specific text of corresponding regulation</w:t>
      </w:r>
      <w:r w:rsidR="0022472D">
        <w:t>s</w:t>
      </w:r>
      <w:r w:rsidR="00D342AF">
        <w:t>.</w:t>
      </w:r>
    </w:p>
    <w:p w14:paraId="67F62952" w14:textId="77777777" w:rsidR="009F2ED8" w:rsidRDefault="009F2ED8" w:rsidP="009F2ED8">
      <w:pPr>
        <w:keepNext/>
      </w:pPr>
      <w:r w:rsidRPr="009F2ED8">
        <w:rPr>
          <w:noProof/>
        </w:rPr>
        <w:drawing>
          <wp:inline distT="0" distB="0" distL="0" distR="0" wp14:anchorId="24DC9A08" wp14:editId="652D84E2">
            <wp:extent cx="5943600" cy="2680335"/>
            <wp:effectExtent l="0" t="0" r="0" b="5715"/>
            <wp:docPr id="2" name="Picture 2" descr="Figure 11 Applying GDPR and All, then filter by GDPR Articl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Figure 11 Applying GDPR and All, then filter by GDPR Article 33"/>
                    <pic:cNvPicPr/>
                  </pic:nvPicPr>
                  <pic:blipFill>
                    <a:blip r:embed="rId22"/>
                    <a:stretch>
                      <a:fillRect/>
                    </a:stretch>
                  </pic:blipFill>
                  <pic:spPr>
                    <a:xfrm>
                      <a:off x="0" y="0"/>
                      <a:ext cx="5943600" cy="2680335"/>
                    </a:xfrm>
                    <a:prstGeom prst="rect">
                      <a:avLst/>
                    </a:prstGeom>
                  </pic:spPr>
                </pic:pic>
              </a:graphicData>
            </a:graphic>
          </wp:inline>
        </w:drawing>
      </w:r>
    </w:p>
    <w:p w14:paraId="1A40913F" w14:textId="60E7F0BA" w:rsidR="009F2ED8" w:rsidRDefault="009F2ED8" w:rsidP="009F2ED8">
      <w:pPr>
        <w:pStyle w:val="Caption"/>
      </w:pPr>
      <w:r>
        <w:t xml:space="preserve">Figure </w:t>
      </w:r>
      <w:fldSimple w:instr=" SEQ Figure \* ARABIC ">
        <w:r w:rsidR="00871312">
          <w:rPr>
            <w:noProof/>
          </w:rPr>
          <w:t>11</w:t>
        </w:r>
      </w:fldSimple>
      <w:r>
        <w:t xml:space="preserve"> Applying GDPR and All, then filter by GDPR Article 33</w:t>
      </w:r>
    </w:p>
    <w:p w14:paraId="36014FA6" w14:textId="76AEA34A" w:rsidR="00871312" w:rsidRPr="00871312" w:rsidRDefault="00871312" w:rsidP="00871312">
      <w:pPr>
        <w:pStyle w:val="Heading3"/>
      </w:pPr>
      <w:r w:rsidRPr="00871312">
        <w:t>Notation</w:t>
      </w:r>
    </w:p>
    <w:p w14:paraId="5E13B4C3" w14:textId="19C818D6" w:rsidR="00871312" w:rsidRDefault="00871312" w:rsidP="00871312">
      <w:r>
        <w:t>Another new feature added in June 2020 was the notation feature</w:t>
      </w:r>
      <w:r w:rsidR="00EF2450">
        <w:t xml:space="preserve"> (see figure 12)</w:t>
      </w:r>
      <w:r>
        <w:t>. Note is additional text to further explain the mapping relationship where needed. Please see data structure below to learn how to add note.</w:t>
      </w:r>
    </w:p>
    <w:p w14:paraId="6AF9E697" w14:textId="77777777" w:rsidR="00871312" w:rsidRDefault="00871312" w:rsidP="00871312">
      <w:pPr>
        <w:keepNext/>
      </w:pPr>
      <w:r w:rsidRPr="00871312">
        <w:rPr>
          <w:noProof/>
        </w:rPr>
        <w:drawing>
          <wp:inline distT="0" distB="0" distL="0" distR="0" wp14:anchorId="3684FADC" wp14:editId="59F98927">
            <wp:extent cx="2764868" cy="2081213"/>
            <wp:effectExtent l="0" t="0" r="0" b="0"/>
            <wp:docPr id="10" name="Picture 10" descr="Figure 11 Applying GDPR and All, then filter by GDPR Articl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Figure 11 Applying GDPR and All, then filter by GDPR Article 33"/>
                    <pic:cNvPicPr/>
                  </pic:nvPicPr>
                  <pic:blipFill>
                    <a:blip r:embed="rId23"/>
                    <a:stretch>
                      <a:fillRect/>
                    </a:stretch>
                  </pic:blipFill>
                  <pic:spPr>
                    <a:xfrm>
                      <a:off x="0" y="0"/>
                      <a:ext cx="2809147" cy="2114543"/>
                    </a:xfrm>
                    <a:prstGeom prst="rect">
                      <a:avLst/>
                    </a:prstGeom>
                  </pic:spPr>
                </pic:pic>
              </a:graphicData>
            </a:graphic>
          </wp:inline>
        </w:drawing>
      </w:r>
    </w:p>
    <w:p w14:paraId="1E4FC126" w14:textId="77777777" w:rsidR="0020309C" w:rsidRDefault="0020309C" w:rsidP="0020309C">
      <w:pPr>
        <w:pStyle w:val="Caption"/>
      </w:pPr>
      <w:r>
        <w:t xml:space="preserve">Figure </w:t>
      </w:r>
      <w:r>
        <w:fldChar w:fldCharType="begin"/>
      </w:r>
      <w:r>
        <w:instrText xml:space="preserve"> SEQ Figure \* ARABIC </w:instrText>
      </w:r>
      <w:r>
        <w:fldChar w:fldCharType="separate"/>
      </w:r>
      <w:r>
        <w:rPr>
          <w:noProof/>
        </w:rPr>
        <w:t>11</w:t>
      </w:r>
      <w:r>
        <w:rPr>
          <w:noProof/>
        </w:rPr>
        <w:fldChar w:fldCharType="end"/>
      </w:r>
      <w:r>
        <w:t xml:space="preserve"> Applying GDPR and All, then filter by GDPR Article 33</w:t>
      </w:r>
    </w:p>
    <w:p w14:paraId="34E42833" w14:textId="689EFA9D" w:rsidR="00D64F44" w:rsidRDefault="0077069B" w:rsidP="0077069B">
      <w:pPr>
        <w:pStyle w:val="Heading3"/>
      </w:pPr>
      <w:r>
        <w:t xml:space="preserve">Display </w:t>
      </w:r>
      <w:r w:rsidR="006529C6">
        <w:t>Lan</w:t>
      </w:r>
      <w:r>
        <w:t xml:space="preserve">guage </w:t>
      </w:r>
    </w:p>
    <w:p w14:paraId="7981D601" w14:textId="64F27B27" w:rsidR="0077069B" w:rsidRDefault="008C5D08" w:rsidP="00D64F44">
      <w:r>
        <w:t>One of the</w:t>
      </w:r>
      <w:r w:rsidR="0077069B">
        <w:t xml:space="preserve"> new feature</w:t>
      </w:r>
      <w:r>
        <w:t>s</w:t>
      </w:r>
      <w:r w:rsidR="0077069B">
        <w:t xml:space="preserve"> introduced in June </w:t>
      </w:r>
      <w:r>
        <w:t xml:space="preserve">2020 was the display of non-English language. </w:t>
      </w:r>
      <w:r w:rsidR="00B04290">
        <w:t>Where non-</w:t>
      </w:r>
      <w:r w:rsidR="00A05AC0">
        <w:t>English text is available in the data model, a language drop</w:t>
      </w:r>
      <w:r w:rsidR="00BD563B">
        <w:t>-</w:t>
      </w:r>
      <w:r w:rsidR="00A05AC0">
        <w:t>down selection function will be available to users</w:t>
      </w:r>
      <w:r w:rsidR="00BD563B">
        <w:t xml:space="preserve"> from both the filter and display area.</w:t>
      </w:r>
      <w:r w:rsidR="00020F48">
        <w:t xml:space="preserve"> Text search function </w:t>
      </w:r>
      <w:r w:rsidR="00E55EC5">
        <w:t>work for non-English languages as well.</w:t>
      </w:r>
    </w:p>
    <w:p w14:paraId="43FFE9D7" w14:textId="77777777" w:rsidR="00954AE4" w:rsidRDefault="00A106AA" w:rsidP="00954AE4">
      <w:pPr>
        <w:keepNext/>
      </w:pPr>
      <w:r w:rsidRPr="00A106AA">
        <w:rPr>
          <w:noProof/>
        </w:rPr>
        <w:drawing>
          <wp:inline distT="0" distB="0" distL="0" distR="0" wp14:anchorId="5107F389" wp14:editId="1BB447C7">
            <wp:extent cx="4102911" cy="2781300"/>
            <wp:effectExtent l="0" t="0" r="0" b="0"/>
            <wp:docPr id="3" name="Picture 3" descr="Figure 13 Displaying non-English langua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Figure 13 Displaying non-English languages"/>
                    <pic:cNvPicPr/>
                  </pic:nvPicPr>
                  <pic:blipFill>
                    <a:blip r:embed="rId24"/>
                    <a:stretch>
                      <a:fillRect/>
                    </a:stretch>
                  </pic:blipFill>
                  <pic:spPr>
                    <a:xfrm>
                      <a:off x="0" y="0"/>
                      <a:ext cx="4113166" cy="2788252"/>
                    </a:xfrm>
                    <a:prstGeom prst="rect">
                      <a:avLst/>
                    </a:prstGeom>
                  </pic:spPr>
                </pic:pic>
              </a:graphicData>
            </a:graphic>
          </wp:inline>
        </w:drawing>
      </w:r>
    </w:p>
    <w:p w14:paraId="4B74EC1F" w14:textId="690A0908" w:rsidR="00A106AA" w:rsidRDefault="00954AE4" w:rsidP="00954AE4">
      <w:pPr>
        <w:pStyle w:val="Caption"/>
      </w:pPr>
      <w:r>
        <w:t xml:space="preserve">Figure </w:t>
      </w:r>
      <w:fldSimple w:instr=" SEQ Figure \* ARABIC ">
        <w:r w:rsidR="00871312">
          <w:rPr>
            <w:noProof/>
          </w:rPr>
          <w:t>13</w:t>
        </w:r>
      </w:fldSimple>
      <w:r>
        <w:t xml:space="preserve"> Displaying non-English </w:t>
      </w:r>
      <w:proofErr w:type="gramStart"/>
      <w:r>
        <w:t>languages</w:t>
      </w:r>
      <w:proofErr w:type="gramEnd"/>
    </w:p>
    <w:p w14:paraId="3FB1CFBB" w14:textId="19D8FE8C" w:rsidR="00D96EAE" w:rsidRDefault="00CF51BE" w:rsidP="002D3CE4">
      <w:pPr>
        <w:pStyle w:val="Heading3"/>
      </w:pPr>
      <w:r>
        <w:t>Line graph and zoom</w:t>
      </w:r>
      <w:r w:rsidR="00CD7919">
        <w:t xml:space="preserve"> </w:t>
      </w:r>
      <w:proofErr w:type="gramStart"/>
      <w:r w:rsidR="00CD7919">
        <w:t>out</w:t>
      </w:r>
      <w:proofErr w:type="gramEnd"/>
    </w:p>
    <w:p w14:paraId="0343A418" w14:textId="0AAF73C5" w:rsidR="00DB37A8" w:rsidRDefault="002D3CE4" w:rsidP="00D96EAE">
      <w:r>
        <w:t xml:space="preserve">The June 2020 update introduced </w:t>
      </w:r>
      <w:r w:rsidR="00BA3B54">
        <w:t xml:space="preserve">a more </w:t>
      </w:r>
      <w:r w:rsidR="007909C6">
        <w:t>colorful</w:t>
      </w:r>
      <w:r w:rsidR="00BA3B54">
        <w:t xml:space="preserve"> mapping display</w:t>
      </w:r>
      <w:r w:rsidR="007909C6">
        <w:t xml:space="preserve"> in the form of San</w:t>
      </w:r>
      <w:r w:rsidR="0066534D">
        <w:t>key diagram.</w:t>
      </w:r>
      <w:r w:rsidR="00BA3B54">
        <w:t xml:space="preserve"> </w:t>
      </w:r>
      <w:r w:rsidR="0066534D">
        <w:t xml:space="preserve">This </w:t>
      </w:r>
      <w:r w:rsidR="00BA3B54">
        <w:t xml:space="preserve">is the current default </w:t>
      </w:r>
      <w:r w:rsidR="00D54DDA">
        <w:t xml:space="preserve">display </w:t>
      </w:r>
      <w:r w:rsidR="00BA3B54">
        <w:t xml:space="preserve">mode. </w:t>
      </w:r>
      <w:r w:rsidR="007909C6">
        <w:t xml:space="preserve">Users who prefer the </w:t>
      </w:r>
      <w:r w:rsidR="00D54DDA">
        <w:t xml:space="preserve">previous view can still see the </w:t>
      </w:r>
      <w:r w:rsidR="008B5323">
        <w:t>straight-line</w:t>
      </w:r>
      <w:r w:rsidR="00040B4B">
        <w:t xml:space="preserve"> diagram </w:t>
      </w:r>
      <w:r w:rsidR="00D21090">
        <w:t>by toggling the Sankey diagram toggle (see figure 13).</w:t>
      </w:r>
    </w:p>
    <w:p w14:paraId="7DB7A6C7" w14:textId="0E88940A" w:rsidR="002D3CE4" w:rsidRDefault="00DB37A8" w:rsidP="00D96EAE">
      <w:r>
        <w:t>The June 2020 update</w:t>
      </w:r>
      <w:r w:rsidR="00D21090">
        <w:t xml:space="preserve"> </w:t>
      </w:r>
      <w:r>
        <w:t>also added the zoom out feature</w:t>
      </w:r>
      <w:r w:rsidR="00CD7919">
        <w:t xml:space="preserve"> </w:t>
      </w:r>
      <w:r w:rsidR="00F13C16">
        <w:t>by using the zoom slider.</w:t>
      </w:r>
      <w:r w:rsidR="00B367A1">
        <w:t xml:space="preserve"> Zoom in is enabled by </w:t>
      </w:r>
      <w:proofErr w:type="gramStart"/>
      <w:r w:rsidR="00B367A1">
        <w:t>browsers’</w:t>
      </w:r>
      <w:proofErr w:type="gramEnd"/>
      <w:r w:rsidR="00B367A1">
        <w:t xml:space="preserve"> built in zoom feature.</w:t>
      </w:r>
    </w:p>
    <w:p w14:paraId="53149E1A" w14:textId="77777777" w:rsidR="00911911" w:rsidRDefault="003D1111" w:rsidP="00911911">
      <w:pPr>
        <w:keepNext/>
      </w:pPr>
      <w:r>
        <w:rPr>
          <w:noProof/>
        </w:rPr>
        <w:drawing>
          <wp:inline distT="0" distB="0" distL="0" distR="0" wp14:anchorId="77F44E96" wp14:editId="6910F8E6">
            <wp:extent cx="5943600" cy="4015105"/>
            <wp:effectExtent l="0" t="0" r="0" b="4445"/>
            <wp:docPr id="4" name="Picture 4" descr="Figure 14 Sankey Diagram togg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Figure 14 Sankey Diagram toggle"/>
                    <pic:cNvPicPr/>
                  </pic:nvPicPr>
                  <pic:blipFill>
                    <a:blip r:embed="rId25">
                      <a:extLst>
                        <a:ext uri="{28A0092B-C50C-407E-A947-70E740481C1C}">
                          <a14:useLocalDpi xmlns:a14="http://schemas.microsoft.com/office/drawing/2010/main" val="0"/>
                        </a:ext>
                      </a:extLst>
                    </a:blip>
                    <a:stretch>
                      <a:fillRect/>
                    </a:stretch>
                  </pic:blipFill>
                  <pic:spPr>
                    <a:xfrm>
                      <a:off x="0" y="0"/>
                      <a:ext cx="5943600" cy="4015105"/>
                    </a:xfrm>
                    <a:prstGeom prst="rect">
                      <a:avLst/>
                    </a:prstGeom>
                  </pic:spPr>
                </pic:pic>
              </a:graphicData>
            </a:graphic>
          </wp:inline>
        </w:drawing>
      </w:r>
    </w:p>
    <w:p w14:paraId="751C27D5" w14:textId="377AD3AB" w:rsidR="008B5323" w:rsidRPr="00D96EAE" w:rsidRDefault="00911911" w:rsidP="00911911">
      <w:pPr>
        <w:pStyle w:val="Caption"/>
      </w:pPr>
      <w:r>
        <w:t xml:space="preserve">Figure </w:t>
      </w:r>
      <w:fldSimple w:instr=" SEQ Figure \* ARABIC ">
        <w:r w:rsidR="00871312">
          <w:rPr>
            <w:noProof/>
          </w:rPr>
          <w:t>14</w:t>
        </w:r>
      </w:fldSimple>
      <w:r>
        <w:t xml:space="preserve"> Sankey Diagram toggle</w:t>
      </w:r>
    </w:p>
    <w:p w14:paraId="7CA98391" w14:textId="0065B4D0" w:rsidR="00FE5E22" w:rsidRDefault="00FE5E22" w:rsidP="002071D3">
      <w:pPr>
        <w:jc w:val="center"/>
      </w:pPr>
    </w:p>
    <w:p w14:paraId="5DC77160" w14:textId="72B01625" w:rsidR="00FE5E22" w:rsidRDefault="00FE5E22" w:rsidP="00446C01">
      <w:pPr>
        <w:rPr>
          <w:b/>
        </w:rPr>
      </w:pPr>
      <w:r>
        <w:rPr>
          <w:b/>
        </w:rPr>
        <w:br w:type="page"/>
      </w:r>
    </w:p>
    <w:p w14:paraId="475546CB" w14:textId="77777777" w:rsidR="000E13FF" w:rsidRPr="00395C24" w:rsidRDefault="00CD4665" w:rsidP="00446C01">
      <w:pPr>
        <w:pStyle w:val="Heading3"/>
      </w:pPr>
      <w:r w:rsidRPr="00395C24">
        <w:t xml:space="preserve">Tree Node </w:t>
      </w:r>
      <w:r w:rsidR="000E13FF" w:rsidRPr="00395C24">
        <w:t>Colors:</w:t>
      </w:r>
    </w:p>
    <w:p w14:paraId="2D89A833" w14:textId="7051049D" w:rsidR="00FE5E22" w:rsidRDefault="00CD4665" w:rsidP="00447671">
      <w:pPr>
        <w:pStyle w:val="ListParagraph"/>
        <w:numPr>
          <w:ilvl w:val="0"/>
          <w:numId w:val="6"/>
        </w:numPr>
      </w:pPr>
      <w:r>
        <w:t>Red: I</w:t>
      </w:r>
      <w:r w:rsidR="00E82646">
        <w:t>ndicate</w:t>
      </w:r>
      <w:r w:rsidR="00FE5E22">
        <w:t>s</w:t>
      </w:r>
      <w:r w:rsidR="00E82646">
        <w:t xml:space="preserve"> </w:t>
      </w:r>
      <w:r w:rsidR="00FE5E22">
        <w:t>the</w:t>
      </w:r>
      <w:r w:rsidR="00E82646">
        <w:t xml:space="preserve"> regulation node is unmapped. </w:t>
      </w:r>
      <w:r w:rsidR="00E46F1D">
        <w:t>Unmapped nodes</w:t>
      </w:r>
      <w:r w:rsidR="00E82646">
        <w:t xml:space="preserve"> will always show because there is a potential that they should be mapped to the current filtered comparison.</w:t>
      </w:r>
      <w:r w:rsidR="00F40C86">
        <w:t xml:space="preserve"> &lt;Note: this highlight feature was accidentally disabled upon our most recent update. The feature will return upon the next round of bug fixes.&gt;</w:t>
      </w:r>
    </w:p>
    <w:p w14:paraId="150666D3" w14:textId="326DBF67" w:rsidR="00CD4665" w:rsidRDefault="00FE5E22" w:rsidP="00F40C86">
      <w:pPr>
        <w:pStyle w:val="ListParagraph"/>
        <w:numPr>
          <w:ilvl w:val="0"/>
          <w:numId w:val="6"/>
        </w:numPr>
      </w:pPr>
      <w:r>
        <w:t>Pink: Indicates a descendent node is unmapped</w:t>
      </w:r>
      <w:r w:rsidR="00F40C86">
        <w:t xml:space="preserve"> &lt;Note: this highlight feature was accidentally disabled upon our most recent update. The feature will return upon the next round of bug fixes.&gt;</w:t>
      </w:r>
    </w:p>
    <w:p w14:paraId="31A36C45" w14:textId="77777777" w:rsidR="002C7793" w:rsidRDefault="00CD4665" w:rsidP="00447671">
      <w:pPr>
        <w:pStyle w:val="ListParagraph"/>
        <w:numPr>
          <w:ilvl w:val="0"/>
          <w:numId w:val="6"/>
        </w:numPr>
      </w:pPr>
      <w:r>
        <w:t>Yellow: Indicates the node</w:t>
      </w:r>
      <w:r w:rsidR="00E82646">
        <w:t xml:space="preserve"> is currently </w:t>
      </w:r>
      <w:r>
        <w:t>selected in a</w:t>
      </w:r>
      <w:r w:rsidR="00E82646">
        <w:t xml:space="preserve"> filter. </w:t>
      </w:r>
    </w:p>
    <w:p w14:paraId="30E1A350" w14:textId="241EA7D5" w:rsidR="000E13FF" w:rsidRPr="000E13FF" w:rsidRDefault="000E13FF" w:rsidP="00446C01">
      <w:pPr>
        <w:pStyle w:val="Heading3"/>
      </w:pPr>
      <w:r w:rsidRPr="000E13FF">
        <w:t>Data Structure</w:t>
      </w:r>
      <w:r w:rsidR="0028432E">
        <w:t xml:space="preserve"> (for data contribution)</w:t>
      </w:r>
      <w:r w:rsidRPr="000E13FF">
        <w:t>:</w:t>
      </w:r>
    </w:p>
    <w:p w14:paraId="5B43080E" w14:textId="07643AD1" w:rsidR="001503C2" w:rsidRDefault="0028432E" w:rsidP="00E82646">
      <w:r>
        <w:t xml:space="preserve">If you wish to contribute to the mapping database either by improving existing mapping or adding new regulations, the easiest way to do so is to </w:t>
      </w:r>
      <w:r w:rsidR="0023644D">
        <w:t xml:space="preserve">send an updated spreadsheet to the project lead or directly from GitHub if you are technically proficient. </w:t>
      </w:r>
      <w:r w:rsidR="00E46F1D">
        <w:t xml:space="preserve">The </w:t>
      </w:r>
      <w:hyperlink r:id="rId26" w:history="1">
        <w:r w:rsidR="00657AF4" w:rsidRPr="0023644D">
          <w:rPr>
            <w:rStyle w:val="Hyperlink"/>
          </w:rPr>
          <w:t>Database</w:t>
        </w:r>
        <w:r w:rsidR="00E46F1D" w:rsidRPr="0023644D">
          <w:rPr>
            <w:rStyle w:val="Hyperlink"/>
          </w:rPr>
          <w:t>.xlsx</w:t>
        </w:r>
      </w:hyperlink>
      <w:r w:rsidR="00E46F1D">
        <w:t xml:space="preserve"> document has the following structure:</w:t>
      </w:r>
    </w:p>
    <w:p w14:paraId="3598F2AE" w14:textId="6561813B" w:rsidR="00C3320F" w:rsidRDefault="00E46F1D" w:rsidP="00E46F1D">
      <w:pPr>
        <w:pStyle w:val="ListParagraph"/>
        <w:numPr>
          <w:ilvl w:val="0"/>
          <w:numId w:val="7"/>
        </w:numPr>
      </w:pPr>
      <w:r>
        <w:t>Sheets – Each regulation is stored in its own sheet. The name of the sheet is what will show on the tab in the app.</w:t>
      </w:r>
      <w:r w:rsidR="00C3320F">
        <w:t xml:space="preserve"> </w:t>
      </w:r>
    </w:p>
    <w:p w14:paraId="47A2BEC6" w14:textId="52A7598E" w:rsidR="00C3320F" w:rsidRDefault="00C3320F" w:rsidP="00C3320F">
      <w:pPr>
        <w:pStyle w:val="ListParagraph"/>
      </w:pPr>
    </w:p>
    <w:p w14:paraId="497D894C" w14:textId="40C942EF" w:rsidR="00E46F1D" w:rsidRDefault="00C3320F" w:rsidP="00C3320F">
      <w:pPr>
        <w:pStyle w:val="ListParagraph"/>
      </w:pPr>
      <w:r>
        <w:t xml:space="preserve">It is expected that the </w:t>
      </w:r>
      <w:r w:rsidR="005C6A78">
        <w:t xml:space="preserve">change list will be the first sheet, and </w:t>
      </w:r>
      <w:r>
        <w:t>ISO 25572 regulation will be</w:t>
      </w:r>
      <w:r w:rsidR="005C6A78">
        <w:t xml:space="preserve"> the</w:t>
      </w:r>
      <w:r>
        <w:t xml:space="preserve"> </w:t>
      </w:r>
      <w:r w:rsidR="005C6A78">
        <w:t>second</w:t>
      </w:r>
      <w:r>
        <w:t xml:space="preserve"> sheet.</w:t>
      </w:r>
    </w:p>
    <w:p w14:paraId="7008FA81" w14:textId="77777777" w:rsidR="00C3320F" w:rsidRDefault="00C3320F" w:rsidP="00C3320F">
      <w:pPr>
        <w:pStyle w:val="ListParagraph"/>
      </w:pPr>
    </w:p>
    <w:p w14:paraId="237F1529" w14:textId="77777777" w:rsidR="00E46F1D" w:rsidRDefault="00E46F1D" w:rsidP="00E46F1D">
      <w:pPr>
        <w:pStyle w:val="ListParagraph"/>
        <w:numPr>
          <w:ilvl w:val="0"/>
          <w:numId w:val="7"/>
        </w:numPr>
      </w:pPr>
      <w:r>
        <w:t>Columns:</w:t>
      </w:r>
      <w:r w:rsidR="00C3320F">
        <w:t xml:space="preserve"> </w:t>
      </w:r>
    </w:p>
    <w:p w14:paraId="5D5B87C1" w14:textId="77777777" w:rsidR="00E46F1D" w:rsidRDefault="00E46F1D" w:rsidP="00E46F1D">
      <w:pPr>
        <w:pStyle w:val="ListParagraph"/>
        <w:numPr>
          <w:ilvl w:val="1"/>
          <w:numId w:val="7"/>
        </w:numPr>
      </w:pPr>
      <w:r>
        <w:t>id: A unique id for the article. These will be normalized into “dot” (.) delimited. Ex: A.1.b</w:t>
      </w:r>
    </w:p>
    <w:p w14:paraId="1B73EA5B" w14:textId="77777777" w:rsidR="00E46F1D" w:rsidRDefault="00E46F1D" w:rsidP="00E46F1D">
      <w:pPr>
        <w:pStyle w:val="ListParagraph"/>
        <w:numPr>
          <w:ilvl w:val="1"/>
          <w:numId w:val="7"/>
        </w:numPr>
      </w:pPr>
      <w:r w:rsidRPr="00E46F1D">
        <w:t>section</w:t>
      </w:r>
      <w:r>
        <w:t>: The title of the article. This often includes the id and a short description.</w:t>
      </w:r>
    </w:p>
    <w:p w14:paraId="48F26679" w14:textId="77777777" w:rsidR="00E46F1D" w:rsidRDefault="00E46F1D" w:rsidP="00E46F1D">
      <w:pPr>
        <w:pStyle w:val="ListParagraph"/>
        <w:numPr>
          <w:ilvl w:val="1"/>
          <w:numId w:val="7"/>
        </w:numPr>
      </w:pPr>
      <w:r>
        <w:t>b</w:t>
      </w:r>
      <w:r w:rsidRPr="00E46F1D">
        <w:t>ody</w:t>
      </w:r>
      <w:r>
        <w:t>: The long description of the article, including implementation guidance.</w:t>
      </w:r>
    </w:p>
    <w:p w14:paraId="1651F964" w14:textId="77777777" w:rsidR="00E46F1D" w:rsidRDefault="00E46F1D" w:rsidP="00E46F1D">
      <w:pPr>
        <w:pStyle w:val="ListParagraph"/>
        <w:numPr>
          <w:ilvl w:val="1"/>
          <w:numId w:val="7"/>
        </w:numPr>
      </w:pPr>
      <w:r w:rsidRPr="00E46F1D">
        <w:t>hyperlink</w:t>
      </w:r>
      <w:r>
        <w:t>: A URL starting with “http” that points to the text in the regulation.</w:t>
      </w:r>
    </w:p>
    <w:p w14:paraId="61D9251A" w14:textId="77777777" w:rsidR="00E46F1D" w:rsidRDefault="00C3320F" w:rsidP="00E46F1D">
      <w:pPr>
        <w:pStyle w:val="ListParagraph"/>
        <w:numPr>
          <w:ilvl w:val="1"/>
          <w:numId w:val="7"/>
        </w:numPr>
      </w:pPr>
      <w:proofErr w:type="spellStart"/>
      <w:r>
        <w:t>i</w:t>
      </w:r>
      <w:r w:rsidR="00E46F1D" w:rsidRPr="00E46F1D">
        <w:t>solinks</w:t>
      </w:r>
      <w:proofErr w:type="spellEnd"/>
      <w:r w:rsidR="00E46F1D">
        <w:t xml:space="preserve">: Semicolon delimited list of </w:t>
      </w:r>
      <w:r>
        <w:t>ISO</w:t>
      </w:r>
      <w:r w:rsidR="00E46F1D">
        <w:t xml:space="preserve"> section ids.</w:t>
      </w:r>
    </w:p>
    <w:p w14:paraId="627143FD" w14:textId="77777777" w:rsidR="006B7CB5" w:rsidRDefault="006B7CB5" w:rsidP="006B7CB5">
      <w:pPr>
        <w:pStyle w:val="ListParagraph"/>
        <w:ind w:left="1440"/>
      </w:pPr>
    </w:p>
    <w:p w14:paraId="2E4A302E" w14:textId="77777777" w:rsidR="006B7CB5" w:rsidRDefault="006B7CB5" w:rsidP="006B7CB5">
      <w:pPr>
        <w:pStyle w:val="ListParagraph"/>
        <w:numPr>
          <w:ilvl w:val="0"/>
          <w:numId w:val="7"/>
        </w:numPr>
      </w:pPr>
      <w:r>
        <w:t>Id column structure:</w:t>
      </w:r>
    </w:p>
    <w:p w14:paraId="4BAD9A5A" w14:textId="58F4C227" w:rsidR="00FE5E22" w:rsidRDefault="006B7CB5" w:rsidP="007F2235">
      <w:pPr>
        <w:pStyle w:val="ListParagraph"/>
        <w:numPr>
          <w:ilvl w:val="1"/>
          <w:numId w:val="4"/>
        </w:numPr>
      </w:pPr>
      <w:r>
        <w:t>When imported, ids will be normalized to be dot delimited. Ex: A.1.b. They will be aggregated into a tree structure based on such that “1” would be a child of “A”, and “b” would be a child of “1”.</w:t>
      </w:r>
      <w:r w:rsidR="00E65A32">
        <w:t xml:space="preserve"> </w:t>
      </w:r>
    </w:p>
    <w:p w14:paraId="5E075B6A" w14:textId="77777777" w:rsidR="00FE5E22" w:rsidRDefault="00FE5E22" w:rsidP="00FE5E22">
      <w:r>
        <w:t>Example snippet from the Australia regulation sheet in Database.xlsx:</w:t>
      </w:r>
    </w:p>
    <w:tbl>
      <w:tblPr>
        <w:tblW w:w="9440" w:type="dxa"/>
        <w:tblLayout w:type="fixed"/>
        <w:tblLook w:val="04A0" w:firstRow="1" w:lastRow="0" w:firstColumn="1" w:lastColumn="0" w:noHBand="0" w:noVBand="1"/>
      </w:tblPr>
      <w:tblGrid>
        <w:gridCol w:w="1080"/>
        <w:gridCol w:w="1080"/>
        <w:gridCol w:w="2420"/>
        <w:gridCol w:w="2880"/>
        <w:gridCol w:w="1980"/>
      </w:tblGrid>
      <w:tr w:rsidR="00FE5E22" w:rsidRPr="00B714D6" w14:paraId="4912948C" w14:textId="77777777" w:rsidTr="00A96CA3">
        <w:trPr>
          <w:trHeight w:val="290"/>
        </w:trPr>
        <w:tc>
          <w:tcPr>
            <w:tcW w:w="1080" w:type="dxa"/>
            <w:tcBorders>
              <w:top w:val="single" w:sz="8" w:space="0" w:color="auto"/>
              <w:left w:val="single" w:sz="8" w:space="0" w:color="auto"/>
              <w:bottom w:val="single" w:sz="4" w:space="0" w:color="auto"/>
              <w:right w:val="single" w:sz="4" w:space="0" w:color="auto"/>
            </w:tcBorders>
            <w:shd w:val="clear" w:color="auto" w:fill="auto"/>
            <w:vAlign w:val="bottom"/>
            <w:hideMark/>
          </w:tcPr>
          <w:p w14:paraId="5B4AE0DA" w14:textId="77777777" w:rsidR="00FE5E22" w:rsidRPr="00B714D6" w:rsidRDefault="00FE5E22" w:rsidP="00A96CA3">
            <w:pPr>
              <w:spacing w:after="0" w:line="240" w:lineRule="auto"/>
              <w:rPr>
                <w:rFonts w:ascii="Calibri" w:eastAsia="Times New Roman" w:hAnsi="Calibri" w:cs="Calibri"/>
                <w:b/>
                <w:bCs/>
                <w:color w:val="000000"/>
              </w:rPr>
            </w:pPr>
            <w:r w:rsidRPr="00B714D6">
              <w:rPr>
                <w:rFonts w:ascii="Calibri" w:eastAsia="Times New Roman" w:hAnsi="Calibri" w:cs="Calibri"/>
                <w:b/>
                <w:bCs/>
                <w:color w:val="000000"/>
              </w:rPr>
              <w:t>id</w:t>
            </w:r>
          </w:p>
        </w:tc>
        <w:tc>
          <w:tcPr>
            <w:tcW w:w="1080" w:type="dxa"/>
            <w:tcBorders>
              <w:top w:val="single" w:sz="8" w:space="0" w:color="auto"/>
              <w:left w:val="nil"/>
              <w:bottom w:val="single" w:sz="4" w:space="0" w:color="auto"/>
              <w:right w:val="single" w:sz="4" w:space="0" w:color="auto"/>
            </w:tcBorders>
            <w:shd w:val="clear" w:color="auto" w:fill="auto"/>
            <w:vAlign w:val="bottom"/>
            <w:hideMark/>
          </w:tcPr>
          <w:p w14:paraId="62A0E1E3" w14:textId="77777777" w:rsidR="00FE5E22" w:rsidRPr="00B714D6" w:rsidRDefault="00FE5E22" w:rsidP="00A96CA3">
            <w:pPr>
              <w:spacing w:after="0" w:line="240" w:lineRule="auto"/>
              <w:rPr>
                <w:rFonts w:ascii="Calibri" w:eastAsia="Times New Roman" w:hAnsi="Calibri" w:cs="Calibri"/>
                <w:b/>
                <w:bCs/>
                <w:color w:val="000000"/>
              </w:rPr>
            </w:pPr>
            <w:r w:rsidRPr="00B714D6">
              <w:rPr>
                <w:rFonts w:ascii="Calibri" w:eastAsia="Times New Roman" w:hAnsi="Calibri" w:cs="Calibri"/>
                <w:b/>
                <w:bCs/>
                <w:color w:val="000000"/>
              </w:rPr>
              <w:t>section</w:t>
            </w:r>
          </w:p>
        </w:tc>
        <w:tc>
          <w:tcPr>
            <w:tcW w:w="2420" w:type="dxa"/>
            <w:tcBorders>
              <w:top w:val="single" w:sz="8" w:space="0" w:color="auto"/>
              <w:left w:val="nil"/>
              <w:bottom w:val="single" w:sz="4" w:space="0" w:color="auto"/>
              <w:right w:val="single" w:sz="4" w:space="0" w:color="auto"/>
            </w:tcBorders>
            <w:shd w:val="clear" w:color="auto" w:fill="auto"/>
            <w:vAlign w:val="bottom"/>
            <w:hideMark/>
          </w:tcPr>
          <w:p w14:paraId="5106A15F" w14:textId="77777777" w:rsidR="00FE5E22" w:rsidRPr="00B714D6" w:rsidRDefault="00FE5E22" w:rsidP="00A96CA3">
            <w:pPr>
              <w:spacing w:after="0" w:line="240" w:lineRule="auto"/>
              <w:rPr>
                <w:rFonts w:ascii="Calibri" w:eastAsia="Times New Roman" w:hAnsi="Calibri" w:cs="Calibri"/>
                <w:b/>
                <w:bCs/>
                <w:color w:val="000000"/>
              </w:rPr>
            </w:pPr>
            <w:r w:rsidRPr="00B714D6">
              <w:rPr>
                <w:rFonts w:ascii="Calibri" w:eastAsia="Times New Roman" w:hAnsi="Calibri" w:cs="Calibri"/>
                <w:b/>
                <w:bCs/>
                <w:color w:val="000000"/>
              </w:rPr>
              <w:t>body</w:t>
            </w:r>
          </w:p>
        </w:tc>
        <w:tc>
          <w:tcPr>
            <w:tcW w:w="2880" w:type="dxa"/>
            <w:tcBorders>
              <w:top w:val="single" w:sz="8" w:space="0" w:color="auto"/>
              <w:left w:val="nil"/>
              <w:bottom w:val="single" w:sz="4" w:space="0" w:color="auto"/>
              <w:right w:val="single" w:sz="4" w:space="0" w:color="auto"/>
            </w:tcBorders>
            <w:shd w:val="clear" w:color="auto" w:fill="auto"/>
            <w:vAlign w:val="bottom"/>
            <w:hideMark/>
          </w:tcPr>
          <w:p w14:paraId="0669A689" w14:textId="77777777" w:rsidR="00FE5E22" w:rsidRPr="00B714D6" w:rsidRDefault="00FE5E22" w:rsidP="00A96CA3">
            <w:pPr>
              <w:spacing w:after="0" w:line="240" w:lineRule="auto"/>
              <w:rPr>
                <w:rFonts w:ascii="Calibri" w:eastAsia="Times New Roman" w:hAnsi="Calibri" w:cs="Calibri"/>
                <w:b/>
                <w:bCs/>
                <w:color w:val="000000"/>
              </w:rPr>
            </w:pPr>
            <w:r w:rsidRPr="00B714D6">
              <w:rPr>
                <w:rFonts w:ascii="Calibri" w:eastAsia="Times New Roman" w:hAnsi="Calibri" w:cs="Calibri"/>
                <w:b/>
                <w:bCs/>
                <w:color w:val="000000"/>
              </w:rPr>
              <w:t>hyperlink</w:t>
            </w:r>
          </w:p>
        </w:tc>
        <w:tc>
          <w:tcPr>
            <w:tcW w:w="1980" w:type="dxa"/>
            <w:tcBorders>
              <w:top w:val="single" w:sz="8" w:space="0" w:color="auto"/>
              <w:left w:val="nil"/>
              <w:bottom w:val="single" w:sz="4" w:space="0" w:color="auto"/>
              <w:right w:val="single" w:sz="8" w:space="0" w:color="auto"/>
            </w:tcBorders>
            <w:shd w:val="clear" w:color="auto" w:fill="auto"/>
            <w:vAlign w:val="bottom"/>
            <w:hideMark/>
          </w:tcPr>
          <w:p w14:paraId="1E269443" w14:textId="77777777" w:rsidR="00FE5E22" w:rsidRPr="00B714D6" w:rsidRDefault="00FE5E22" w:rsidP="00A96CA3">
            <w:pPr>
              <w:spacing w:after="0" w:line="240" w:lineRule="auto"/>
              <w:rPr>
                <w:rFonts w:ascii="Calibri" w:eastAsia="Times New Roman" w:hAnsi="Calibri" w:cs="Calibri"/>
                <w:b/>
                <w:bCs/>
                <w:color w:val="000000"/>
              </w:rPr>
            </w:pPr>
            <w:proofErr w:type="spellStart"/>
            <w:r w:rsidRPr="00B714D6">
              <w:rPr>
                <w:rFonts w:ascii="Calibri" w:eastAsia="Times New Roman" w:hAnsi="Calibri" w:cs="Calibri"/>
                <w:b/>
                <w:bCs/>
                <w:color w:val="000000"/>
              </w:rPr>
              <w:t>isolinks</w:t>
            </w:r>
            <w:proofErr w:type="spellEnd"/>
          </w:p>
        </w:tc>
      </w:tr>
      <w:tr w:rsidR="00FE5E22" w:rsidRPr="00B714D6" w14:paraId="64810033" w14:textId="77777777" w:rsidTr="00A96CA3">
        <w:trPr>
          <w:trHeight w:val="290"/>
        </w:trPr>
        <w:tc>
          <w:tcPr>
            <w:tcW w:w="1080" w:type="dxa"/>
            <w:tcBorders>
              <w:top w:val="nil"/>
              <w:left w:val="single" w:sz="8" w:space="0" w:color="auto"/>
              <w:bottom w:val="single" w:sz="4" w:space="0" w:color="auto"/>
              <w:right w:val="single" w:sz="4" w:space="0" w:color="auto"/>
            </w:tcBorders>
            <w:shd w:val="clear" w:color="auto" w:fill="auto"/>
            <w:vAlign w:val="bottom"/>
            <w:hideMark/>
          </w:tcPr>
          <w:p w14:paraId="68D9A044"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w:t>
            </w:r>
          </w:p>
        </w:tc>
        <w:tc>
          <w:tcPr>
            <w:tcW w:w="1080" w:type="dxa"/>
            <w:tcBorders>
              <w:top w:val="nil"/>
              <w:left w:val="nil"/>
              <w:bottom w:val="single" w:sz="4" w:space="0" w:color="auto"/>
              <w:right w:val="single" w:sz="4" w:space="0" w:color="auto"/>
            </w:tcBorders>
            <w:shd w:val="clear" w:color="auto" w:fill="auto"/>
            <w:vAlign w:val="bottom"/>
            <w:hideMark/>
          </w:tcPr>
          <w:p w14:paraId="7FE62FA2"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w:t>
            </w:r>
          </w:p>
        </w:tc>
        <w:tc>
          <w:tcPr>
            <w:tcW w:w="2420" w:type="dxa"/>
            <w:tcBorders>
              <w:top w:val="nil"/>
              <w:left w:val="nil"/>
              <w:bottom w:val="single" w:sz="4" w:space="0" w:color="auto"/>
              <w:right w:val="single" w:sz="4" w:space="0" w:color="auto"/>
            </w:tcBorders>
            <w:shd w:val="clear" w:color="auto" w:fill="auto"/>
            <w:vAlign w:val="bottom"/>
            <w:hideMark/>
          </w:tcPr>
          <w:p w14:paraId="3CBE5F60"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 </w:t>
            </w:r>
          </w:p>
        </w:tc>
        <w:tc>
          <w:tcPr>
            <w:tcW w:w="2880" w:type="dxa"/>
            <w:tcBorders>
              <w:top w:val="nil"/>
              <w:left w:val="nil"/>
              <w:bottom w:val="single" w:sz="4" w:space="0" w:color="auto"/>
              <w:right w:val="single" w:sz="4" w:space="0" w:color="auto"/>
            </w:tcBorders>
            <w:shd w:val="clear" w:color="auto" w:fill="auto"/>
            <w:vAlign w:val="bottom"/>
            <w:hideMark/>
          </w:tcPr>
          <w:p w14:paraId="6E5DB3B9"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 </w:t>
            </w:r>
          </w:p>
        </w:tc>
        <w:tc>
          <w:tcPr>
            <w:tcW w:w="1980" w:type="dxa"/>
            <w:tcBorders>
              <w:top w:val="nil"/>
              <w:left w:val="nil"/>
              <w:bottom w:val="single" w:sz="4" w:space="0" w:color="auto"/>
              <w:right w:val="single" w:sz="8" w:space="0" w:color="auto"/>
            </w:tcBorders>
            <w:shd w:val="clear" w:color="auto" w:fill="auto"/>
            <w:vAlign w:val="bottom"/>
            <w:hideMark/>
          </w:tcPr>
          <w:p w14:paraId="1BC4B5D9"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 </w:t>
            </w:r>
          </w:p>
        </w:tc>
      </w:tr>
      <w:tr w:rsidR="00FE5E22" w:rsidRPr="00B714D6" w14:paraId="7C7E7F0A" w14:textId="77777777" w:rsidTr="00A96CA3">
        <w:trPr>
          <w:trHeight w:val="290"/>
        </w:trPr>
        <w:tc>
          <w:tcPr>
            <w:tcW w:w="1080" w:type="dxa"/>
            <w:tcBorders>
              <w:top w:val="nil"/>
              <w:left w:val="single" w:sz="8" w:space="0" w:color="auto"/>
              <w:bottom w:val="single" w:sz="4" w:space="0" w:color="auto"/>
              <w:right w:val="single" w:sz="4" w:space="0" w:color="auto"/>
            </w:tcBorders>
            <w:shd w:val="clear" w:color="auto" w:fill="auto"/>
            <w:vAlign w:val="bottom"/>
            <w:hideMark/>
          </w:tcPr>
          <w:p w14:paraId="43F19179"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APP.1</w:t>
            </w:r>
          </w:p>
        </w:tc>
        <w:tc>
          <w:tcPr>
            <w:tcW w:w="1080" w:type="dxa"/>
            <w:tcBorders>
              <w:top w:val="nil"/>
              <w:left w:val="nil"/>
              <w:bottom w:val="single" w:sz="4" w:space="0" w:color="auto"/>
              <w:right w:val="single" w:sz="4" w:space="0" w:color="auto"/>
            </w:tcBorders>
            <w:shd w:val="clear" w:color="auto" w:fill="auto"/>
            <w:vAlign w:val="bottom"/>
            <w:hideMark/>
          </w:tcPr>
          <w:p w14:paraId="2566ACD8"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APP.1</w:t>
            </w:r>
          </w:p>
        </w:tc>
        <w:tc>
          <w:tcPr>
            <w:tcW w:w="2420" w:type="dxa"/>
            <w:tcBorders>
              <w:top w:val="nil"/>
              <w:left w:val="nil"/>
              <w:bottom w:val="single" w:sz="4" w:space="0" w:color="auto"/>
              <w:right w:val="single" w:sz="4" w:space="0" w:color="auto"/>
            </w:tcBorders>
            <w:shd w:val="clear" w:color="auto" w:fill="auto"/>
            <w:vAlign w:val="bottom"/>
            <w:hideMark/>
          </w:tcPr>
          <w:p w14:paraId="6F01A4CC"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 </w:t>
            </w:r>
          </w:p>
        </w:tc>
        <w:tc>
          <w:tcPr>
            <w:tcW w:w="2880" w:type="dxa"/>
            <w:tcBorders>
              <w:top w:val="nil"/>
              <w:left w:val="nil"/>
              <w:bottom w:val="single" w:sz="4" w:space="0" w:color="auto"/>
              <w:right w:val="single" w:sz="4" w:space="0" w:color="auto"/>
            </w:tcBorders>
            <w:shd w:val="clear" w:color="auto" w:fill="auto"/>
            <w:vAlign w:val="bottom"/>
            <w:hideMark/>
          </w:tcPr>
          <w:p w14:paraId="2D1C0725"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 </w:t>
            </w:r>
          </w:p>
        </w:tc>
        <w:tc>
          <w:tcPr>
            <w:tcW w:w="1980" w:type="dxa"/>
            <w:tcBorders>
              <w:top w:val="nil"/>
              <w:left w:val="nil"/>
              <w:bottom w:val="single" w:sz="4" w:space="0" w:color="auto"/>
              <w:right w:val="single" w:sz="8" w:space="0" w:color="auto"/>
            </w:tcBorders>
            <w:shd w:val="clear" w:color="auto" w:fill="auto"/>
            <w:vAlign w:val="bottom"/>
            <w:hideMark/>
          </w:tcPr>
          <w:p w14:paraId="274AD29C"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 </w:t>
            </w:r>
          </w:p>
        </w:tc>
      </w:tr>
      <w:tr w:rsidR="00FE5E22" w:rsidRPr="00B714D6" w14:paraId="499D7522" w14:textId="77777777" w:rsidTr="00A96CA3">
        <w:trPr>
          <w:trHeight w:val="1450"/>
        </w:trPr>
        <w:tc>
          <w:tcPr>
            <w:tcW w:w="1080" w:type="dxa"/>
            <w:tcBorders>
              <w:top w:val="nil"/>
              <w:left w:val="single" w:sz="8" w:space="0" w:color="auto"/>
              <w:bottom w:val="single" w:sz="4" w:space="0" w:color="auto"/>
              <w:right w:val="single" w:sz="4" w:space="0" w:color="auto"/>
            </w:tcBorders>
            <w:shd w:val="clear" w:color="auto" w:fill="auto"/>
            <w:vAlign w:val="bottom"/>
            <w:hideMark/>
          </w:tcPr>
          <w:p w14:paraId="1BDC90B4"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APP.1.2</w:t>
            </w:r>
          </w:p>
        </w:tc>
        <w:tc>
          <w:tcPr>
            <w:tcW w:w="1080" w:type="dxa"/>
            <w:tcBorders>
              <w:top w:val="nil"/>
              <w:left w:val="nil"/>
              <w:bottom w:val="single" w:sz="4" w:space="0" w:color="auto"/>
              <w:right w:val="single" w:sz="4" w:space="0" w:color="auto"/>
            </w:tcBorders>
            <w:shd w:val="clear" w:color="auto" w:fill="auto"/>
            <w:vAlign w:val="bottom"/>
            <w:hideMark/>
          </w:tcPr>
          <w:p w14:paraId="77A81CC8"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APP.1.2</w:t>
            </w:r>
          </w:p>
        </w:tc>
        <w:tc>
          <w:tcPr>
            <w:tcW w:w="2420" w:type="dxa"/>
            <w:tcBorders>
              <w:top w:val="nil"/>
              <w:left w:val="nil"/>
              <w:bottom w:val="single" w:sz="4" w:space="0" w:color="auto"/>
              <w:right w:val="single" w:sz="4" w:space="0" w:color="auto"/>
            </w:tcBorders>
            <w:shd w:val="clear" w:color="auto" w:fill="auto"/>
            <w:vAlign w:val="bottom"/>
            <w:hideMark/>
          </w:tcPr>
          <w:p w14:paraId="07652B3B"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Must take reasonable steps to implement practices, procedures and systems to ensure compliance with the APPs (APP 1.2)</w:t>
            </w:r>
          </w:p>
        </w:tc>
        <w:tc>
          <w:tcPr>
            <w:tcW w:w="2880" w:type="dxa"/>
            <w:tcBorders>
              <w:top w:val="nil"/>
              <w:left w:val="nil"/>
              <w:bottom w:val="single" w:sz="4" w:space="0" w:color="auto"/>
              <w:right w:val="single" w:sz="4" w:space="0" w:color="auto"/>
            </w:tcBorders>
            <w:shd w:val="clear" w:color="auto" w:fill="auto"/>
            <w:vAlign w:val="bottom"/>
            <w:hideMark/>
          </w:tcPr>
          <w:p w14:paraId="4F38329A"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https://www.legislation.gov.au/Details/C2018C00034/Html/Text#_Toc506801611</w:t>
            </w:r>
          </w:p>
        </w:tc>
        <w:tc>
          <w:tcPr>
            <w:tcW w:w="1980" w:type="dxa"/>
            <w:tcBorders>
              <w:top w:val="nil"/>
              <w:left w:val="nil"/>
              <w:bottom w:val="single" w:sz="4" w:space="0" w:color="auto"/>
              <w:right w:val="single" w:sz="8" w:space="0" w:color="auto"/>
            </w:tcBorders>
            <w:shd w:val="clear" w:color="auto" w:fill="auto"/>
            <w:vAlign w:val="bottom"/>
            <w:hideMark/>
          </w:tcPr>
          <w:p w14:paraId="39FA1251"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5.2.3.a;5.2.4;5.4.1.3;6.2;6.4;6.5.2.1;6.11.2.5;6.13.1.1;6.15.1.3;6.15.2.1;6.15.2.3;7.2.5;7.3.1</w:t>
            </w:r>
          </w:p>
        </w:tc>
      </w:tr>
      <w:tr w:rsidR="00FE5E22" w:rsidRPr="00B714D6" w14:paraId="535FAC4A" w14:textId="77777777" w:rsidTr="00A96CA3">
        <w:trPr>
          <w:trHeight w:val="1450"/>
        </w:trPr>
        <w:tc>
          <w:tcPr>
            <w:tcW w:w="1080" w:type="dxa"/>
            <w:tcBorders>
              <w:top w:val="nil"/>
              <w:left w:val="single" w:sz="8" w:space="0" w:color="auto"/>
              <w:bottom w:val="single" w:sz="4" w:space="0" w:color="auto"/>
              <w:right w:val="single" w:sz="4" w:space="0" w:color="auto"/>
            </w:tcBorders>
            <w:shd w:val="clear" w:color="auto" w:fill="auto"/>
            <w:vAlign w:val="bottom"/>
            <w:hideMark/>
          </w:tcPr>
          <w:p w14:paraId="38A36CAC"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APP.1.4</w:t>
            </w:r>
          </w:p>
        </w:tc>
        <w:tc>
          <w:tcPr>
            <w:tcW w:w="1080" w:type="dxa"/>
            <w:tcBorders>
              <w:top w:val="nil"/>
              <w:left w:val="nil"/>
              <w:bottom w:val="single" w:sz="4" w:space="0" w:color="auto"/>
              <w:right w:val="single" w:sz="4" w:space="0" w:color="auto"/>
            </w:tcBorders>
            <w:shd w:val="clear" w:color="auto" w:fill="auto"/>
            <w:vAlign w:val="bottom"/>
            <w:hideMark/>
          </w:tcPr>
          <w:p w14:paraId="708CDBB9"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APP.1.4</w:t>
            </w:r>
          </w:p>
        </w:tc>
        <w:tc>
          <w:tcPr>
            <w:tcW w:w="2420" w:type="dxa"/>
            <w:tcBorders>
              <w:top w:val="nil"/>
              <w:left w:val="nil"/>
              <w:bottom w:val="single" w:sz="4" w:space="0" w:color="auto"/>
              <w:right w:val="single" w:sz="4" w:space="0" w:color="auto"/>
            </w:tcBorders>
            <w:shd w:val="clear" w:color="auto" w:fill="auto"/>
            <w:vAlign w:val="bottom"/>
            <w:hideMark/>
          </w:tcPr>
          <w:p w14:paraId="66D62EDB"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 privacy policy must contain the kinds of personal information collected and held, how and for what purposes it is collected, held, used and disclosed...</w:t>
            </w:r>
          </w:p>
        </w:tc>
        <w:tc>
          <w:tcPr>
            <w:tcW w:w="2880" w:type="dxa"/>
            <w:tcBorders>
              <w:top w:val="nil"/>
              <w:left w:val="nil"/>
              <w:bottom w:val="single" w:sz="4" w:space="0" w:color="auto"/>
              <w:right w:val="single" w:sz="4" w:space="0" w:color="auto"/>
            </w:tcBorders>
            <w:shd w:val="clear" w:color="auto" w:fill="auto"/>
            <w:vAlign w:val="bottom"/>
            <w:hideMark/>
          </w:tcPr>
          <w:p w14:paraId="41D08211"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https://www.legislation.gov.au/Details/C2018C00034/Html/Text#_Toc506801611</w:t>
            </w:r>
          </w:p>
        </w:tc>
        <w:tc>
          <w:tcPr>
            <w:tcW w:w="1980" w:type="dxa"/>
            <w:tcBorders>
              <w:top w:val="nil"/>
              <w:left w:val="nil"/>
              <w:bottom w:val="single" w:sz="4" w:space="0" w:color="auto"/>
              <w:right w:val="single" w:sz="8" w:space="0" w:color="auto"/>
            </w:tcBorders>
            <w:shd w:val="clear" w:color="auto" w:fill="auto"/>
            <w:vAlign w:val="bottom"/>
            <w:hideMark/>
          </w:tcPr>
          <w:p w14:paraId="771A9F56"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6.3</w:t>
            </w:r>
          </w:p>
        </w:tc>
      </w:tr>
      <w:tr w:rsidR="00FE5E22" w:rsidRPr="00B714D6" w14:paraId="0FA02260" w14:textId="77777777" w:rsidTr="00A96CA3">
        <w:trPr>
          <w:trHeight w:val="1170"/>
        </w:trPr>
        <w:tc>
          <w:tcPr>
            <w:tcW w:w="1080" w:type="dxa"/>
            <w:tcBorders>
              <w:top w:val="nil"/>
              <w:left w:val="single" w:sz="8" w:space="0" w:color="auto"/>
              <w:bottom w:val="single" w:sz="8" w:space="0" w:color="auto"/>
              <w:right w:val="single" w:sz="4" w:space="0" w:color="auto"/>
            </w:tcBorders>
            <w:shd w:val="clear" w:color="auto" w:fill="auto"/>
            <w:vAlign w:val="bottom"/>
            <w:hideMark/>
          </w:tcPr>
          <w:p w14:paraId="18616B13"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APP.1.4.c</w:t>
            </w:r>
          </w:p>
        </w:tc>
        <w:tc>
          <w:tcPr>
            <w:tcW w:w="1080" w:type="dxa"/>
            <w:tcBorders>
              <w:top w:val="nil"/>
              <w:left w:val="nil"/>
              <w:bottom w:val="single" w:sz="8" w:space="0" w:color="auto"/>
              <w:right w:val="single" w:sz="4" w:space="0" w:color="auto"/>
            </w:tcBorders>
            <w:shd w:val="clear" w:color="auto" w:fill="auto"/>
            <w:vAlign w:val="bottom"/>
            <w:hideMark/>
          </w:tcPr>
          <w:p w14:paraId="6C5589B9"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APP.1.4.c</w:t>
            </w:r>
          </w:p>
        </w:tc>
        <w:tc>
          <w:tcPr>
            <w:tcW w:w="2420" w:type="dxa"/>
            <w:tcBorders>
              <w:top w:val="nil"/>
              <w:left w:val="nil"/>
              <w:bottom w:val="single" w:sz="8" w:space="0" w:color="auto"/>
              <w:right w:val="single" w:sz="4" w:space="0" w:color="auto"/>
            </w:tcBorders>
            <w:shd w:val="clear" w:color="auto" w:fill="auto"/>
            <w:vAlign w:val="bottom"/>
            <w:hideMark/>
          </w:tcPr>
          <w:p w14:paraId="28916589"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Privacy policy must include purposes for which the entity collects, holds and uses personal information (APP 1.4(c))</w:t>
            </w:r>
          </w:p>
        </w:tc>
        <w:tc>
          <w:tcPr>
            <w:tcW w:w="2880" w:type="dxa"/>
            <w:tcBorders>
              <w:top w:val="nil"/>
              <w:left w:val="nil"/>
              <w:bottom w:val="single" w:sz="8" w:space="0" w:color="auto"/>
              <w:right w:val="single" w:sz="4" w:space="0" w:color="auto"/>
            </w:tcBorders>
            <w:shd w:val="clear" w:color="auto" w:fill="auto"/>
            <w:vAlign w:val="bottom"/>
            <w:hideMark/>
          </w:tcPr>
          <w:p w14:paraId="6CF0FED3"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https://www.legislation.gov.au/Details/C2018C00034/Html/Text#_Toc506801611</w:t>
            </w:r>
          </w:p>
        </w:tc>
        <w:tc>
          <w:tcPr>
            <w:tcW w:w="1980" w:type="dxa"/>
            <w:tcBorders>
              <w:top w:val="nil"/>
              <w:left w:val="nil"/>
              <w:bottom w:val="single" w:sz="8" w:space="0" w:color="auto"/>
              <w:right w:val="single" w:sz="8" w:space="0" w:color="auto"/>
            </w:tcBorders>
            <w:shd w:val="clear" w:color="auto" w:fill="auto"/>
            <w:vAlign w:val="bottom"/>
            <w:hideMark/>
          </w:tcPr>
          <w:p w14:paraId="746CDE7C" w14:textId="77777777" w:rsidR="00FE5E22" w:rsidRPr="00B714D6" w:rsidRDefault="00FE5E22" w:rsidP="00A96CA3">
            <w:pPr>
              <w:spacing w:after="0" w:line="240" w:lineRule="auto"/>
              <w:rPr>
                <w:rFonts w:ascii="Calibri" w:eastAsia="Times New Roman" w:hAnsi="Calibri" w:cs="Calibri"/>
                <w:color w:val="000000"/>
              </w:rPr>
            </w:pPr>
            <w:r w:rsidRPr="00B714D6">
              <w:rPr>
                <w:rFonts w:ascii="Calibri" w:eastAsia="Times New Roman" w:hAnsi="Calibri" w:cs="Calibri"/>
                <w:color w:val="000000"/>
              </w:rPr>
              <w:t>7.2.1</w:t>
            </w:r>
          </w:p>
        </w:tc>
      </w:tr>
    </w:tbl>
    <w:p w14:paraId="0D5382F0" w14:textId="4B9A468D" w:rsidR="00447671" w:rsidRPr="00EF2450" w:rsidRDefault="00EF2450" w:rsidP="00EF2450">
      <w:pPr>
        <w:pStyle w:val="Heading4"/>
      </w:pPr>
      <w:r w:rsidRPr="00EF2450">
        <w:t>Notation</w:t>
      </w:r>
    </w:p>
    <w:p w14:paraId="78915C9F" w14:textId="035372CE" w:rsidR="00EF2450" w:rsidRDefault="00EF2450" w:rsidP="002B546B">
      <w:pPr>
        <w:rPr>
          <w:bCs/>
        </w:rPr>
      </w:pPr>
      <w:r w:rsidRPr="00EF2450">
        <w:rPr>
          <w:bCs/>
        </w:rPr>
        <w:t>The</w:t>
      </w:r>
      <w:r>
        <w:rPr>
          <w:bCs/>
        </w:rPr>
        <w:t xml:space="preserve"> June 2020 feature update introduced the notation feature. To add notes to any given regulation, go to the bottom of the data table for any of the regulation sheet, add the text “Notes” on the first column, add the following column headings to the following row:</w:t>
      </w:r>
    </w:p>
    <w:p w14:paraId="10BDBBEF" w14:textId="7920C639" w:rsidR="00EF2450" w:rsidRPr="00EF2450" w:rsidRDefault="00EF2450" w:rsidP="00EF2450">
      <w:pPr>
        <w:numPr>
          <w:ilvl w:val="0"/>
          <w:numId w:val="18"/>
        </w:numPr>
        <w:shd w:val="clear" w:color="auto" w:fill="FFFFFF"/>
        <w:spacing w:before="100" w:beforeAutospacing="1" w:after="100" w:afterAutospacing="1" w:line="240" w:lineRule="auto"/>
        <w:rPr>
          <w:rFonts w:ascii="Segoe UI" w:eastAsia="Times New Roman" w:hAnsi="Segoe UI" w:cs="Segoe UI"/>
          <w:color w:val="24292E"/>
          <w:sz w:val="24"/>
          <w:szCs w:val="24"/>
        </w:rPr>
      </w:pPr>
      <w:r>
        <w:rPr>
          <w:rFonts w:ascii="Segoe UI" w:eastAsia="Times New Roman" w:hAnsi="Segoe UI" w:cs="Segoe UI"/>
          <w:color w:val="24292E"/>
          <w:sz w:val="24"/>
          <w:szCs w:val="24"/>
        </w:rPr>
        <w:t>i</w:t>
      </w:r>
      <w:r w:rsidRPr="00EF2450">
        <w:rPr>
          <w:rFonts w:ascii="Segoe UI" w:eastAsia="Times New Roman" w:hAnsi="Segoe UI" w:cs="Segoe UI"/>
          <w:color w:val="24292E"/>
          <w:sz w:val="24"/>
          <w:szCs w:val="24"/>
        </w:rPr>
        <w:t>d - Section id in for the individual regulation section</w:t>
      </w:r>
    </w:p>
    <w:p w14:paraId="59DF7DCA" w14:textId="5F48540D" w:rsidR="00EF2450" w:rsidRPr="00EF2450" w:rsidRDefault="00EF2450" w:rsidP="00EF2450">
      <w:pPr>
        <w:numPr>
          <w:ilvl w:val="0"/>
          <w:numId w:val="18"/>
        </w:numPr>
        <w:shd w:val="clear" w:color="auto" w:fill="FFFFFF"/>
        <w:spacing w:before="60" w:after="100" w:afterAutospacing="1" w:line="240" w:lineRule="auto"/>
        <w:rPr>
          <w:rFonts w:ascii="Segoe UI" w:eastAsia="Times New Roman" w:hAnsi="Segoe UI" w:cs="Segoe UI"/>
          <w:color w:val="24292E"/>
          <w:sz w:val="24"/>
          <w:szCs w:val="24"/>
        </w:rPr>
      </w:pPr>
      <w:proofErr w:type="spellStart"/>
      <w:r w:rsidRPr="00EF2450">
        <w:rPr>
          <w:rFonts w:ascii="Segoe UI" w:eastAsia="Times New Roman" w:hAnsi="Segoe UI" w:cs="Segoe UI"/>
          <w:color w:val="24292E"/>
          <w:sz w:val="24"/>
          <w:szCs w:val="24"/>
        </w:rPr>
        <w:t>isoid</w:t>
      </w:r>
      <w:proofErr w:type="spellEnd"/>
      <w:r w:rsidRPr="00EF2450">
        <w:rPr>
          <w:rFonts w:ascii="Segoe UI" w:eastAsia="Times New Roman" w:hAnsi="Segoe UI" w:cs="Segoe UI"/>
          <w:color w:val="24292E"/>
          <w:sz w:val="24"/>
          <w:szCs w:val="24"/>
        </w:rPr>
        <w:t xml:space="preserve"> - </w:t>
      </w:r>
      <w:r>
        <w:rPr>
          <w:rFonts w:ascii="Segoe UI" w:eastAsia="Times New Roman" w:hAnsi="Segoe UI" w:cs="Segoe UI"/>
          <w:color w:val="24292E"/>
          <w:sz w:val="24"/>
          <w:szCs w:val="24"/>
        </w:rPr>
        <w:t>Reference</w:t>
      </w:r>
      <w:r w:rsidRPr="00EF2450">
        <w:rPr>
          <w:rFonts w:ascii="Segoe UI" w:eastAsia="Times New Roman" w:hAnsi="Segoe UI" w:cs="Segoe UI"/>
          <w:color w:val="24292E"/>
          <w:sz w:val="24"/>
          <w:szCs w:val="24"/>
        </w:rPr>
        <w:t xml:space="preserve"> to th</w:t>
      </w:r>
      <w:r>
        <w:rPr>
          <w:rFonts w:ascii="Segoe UI" w:eastAsia="Times New Roman" w:hAnsi="Segoe UI" w:cs="Segoe UI"/>
          <w:color w:val="24292E"/>
          <w:sz w:val="24"/>
          <w:szCs w:val="24"/>
        </w:rPr>
        <w:t>e</w:t>
      </w:r>
      <w:r w:rsidRPr="00EF2450">
        <w:rPr>
          <w:rFonts w:ascii="Segoe UI" w:eastAsia="Times New Roman" w:hAnsi="Segoe UI" w:cs="Segoe UI"/>
          <w:color w:val="24292E"/>
          <w:sz w:val="24"/>
          <w:szCs w:val="24"/>
        </w:rPr>
        <w:t xml:space="preserve"> list of ISO standard</w:t>
      </w:r>
    </w:p>
    <w:p w14:paraId="6DE99089" w14:textId="77777777" w:rsidR="00EF2450" w:rsidRPr="00EF2450" w:rsidRDefault="00EF2450" w:rsidP="00EF2450">
      <w:pPr>
        <w:numPr>
          <w:ilvl w:val="0"/>
          <w:numId w:val="18"/>
        </w:numPr>
        <w:shd w:val="clear" w:color="auto" w:fill="FFFFFF"/>
        <w:spacing w:before="60" w:after="100" w:afterAutospacing="1" w:line="240" w:lineRule="auto"/>
        <w:rPr>
          <w:rFonts w:ascii="Segoe UI" w:eastAsia="Times New Roman" w:hAnsi="Segoe UI" w:cs="Segoe UI"/>
          <w:color w:val="24292E"/>
          <w:sz w:val="24"/>
          <w:szCs w:val="24"/>
        </w:rPr>
      </w:pPr>
      <w:r w:rsidRPr="00EF2450">
        <w:rPr>
          <w:rFonts w:ascii="Segoe UI" w:eastAsia="Times New Roman" w:hAnsi="Segoe UI" w:cs="Segoe UI"/>
          <w:color w:val="24292E"/>
          <w:sz w:val="24"/>
          <w:szCs w:val="24"/>
        </w:rPr>
        <w:t>comment - Display this comment.</w:t>
      </w:r>
    </w:p>
    <w:p w14:paraId="6A4B931D" w14:textId="77777777" w:rsidR="0028432E" w:rsidRPr="00446C01" w:rsidRDefault="0028432E" w:rsidP="0028432E">
      <w:pPr>
        <w:pStyle w:val="Heading2"/>
      </w:pPr>
      <w:r w:rsidRPr="00446C01">
        <w:t>Datasets:</w:t>
      </w:r>
    </w:p>
    <w:p w14:paraId="7057B758" w14:textId="77777777" w:rsidR="0028432E" w:rsidRDefault="0028432E" w:rsidP="0028432E">
      <w:r>
        <w:t>There is no live database hosted. The app works of a static dataset and server. There are datasets.</w:t>
      </w:r>
    </w:p>
    <w:p w14:paraId="702195D0" w14:textId="77777777" w:rsidR="0028432E" w:rsidRDefault="0028432E" w:rsidP="0028432E">
      <w:pPr>
        <w:pStyle w:val="ListParagraph"/>
        <w:numPr>
          <w:ilvl w:val="0"/>
          <w:numId w:val="7"/>
        </w:numPr>
      </w:pPr>
      <w:r>
        <w:t>Private master dataset: A Database.xlsx file with all data including all mapping data.</w:t>
      </w:r>
    </w:p>
    <w:p w14:paraId="537D4DAA" w14:textId="77777777" w:rsidR="0028432E" w:rsidRDefault="0028432E" w:rsidP="0028432E">
      <w:pPr>
        <w:pStyle w:val="ListParagraph"/>
      </w:pPr>
    </w:p>
    <w:p w14:paraId="6FE2C925" w14:textId="23B8D0B8" w:rsidR="0028432E" w:rsidRPr="0028432E" w:rsidRDefault="0028432E" w:rsidP="002B546B">
      <w:pPr>
        <w:pStyle w:val="ListParagraph"/>
        <w:numPr>
          <w:ilvl w:val="0"/>
          <w:numId w:val="7"/>
        </w:numPr>
      </w:pPr>
      <w:r>
        <w:t>Cached public data: The app itself runs of a cached subset of public data, stored in the build and repository as a .json file which is easily read by the web app. This dataset is built from the private dataset using the import script.</w:t>
      </w:r>
    </w:p>
    <w:p w14:paraId="57D2DE4B" w14:textId="7D5135D0" w:rsidR="002B546B" w:rsidRPr="002B546B" w:rsidRDefault="002B546B" w:rsidP="0028432E">
      <w:pPr>
        <w:pStyle w:val="Heading3"/>
      </w:pPr>
      <w:r w:rsidRPr="002B546B">
        <w:t>Updating the data in the system</w:t>
      </w:r>
      <w:r w:rsidR="0028432E">
        <w:t xml:space="preserve"> (For Project Administrators only)</w:t>
      </w:r>
    </w:p>
    <w:p w14:paraId="4FA6CA6C" w14:textId="77777777" w:rsidR="002B546B" w:rsidRDefault="002B546B" w:rsidP="002B546B">
      <w:pPr>
        <w:pStyle w:val="ListParagraph"/>
        <w:numPr>
          <w:ilvl w:val="0"/>
          <w:numId w:val="4"/>
        </w:numPr>
      </w:pPr>
      <w:r>
        <w:t xml:space="preserve">Check-out the data repository containing the </w:t>
      </w:r>
      <w:r w:rsidR="00657AF4">
        <w:t>Database</w:t>
      </w:r>
      <w:r w:rsidR="00A624A0">
        <w:t>.xlsx</w:t>
      </w:r>
      <w:r>
        <w:t>.</w:t>
      </w:r>
    </w:p>
    <w:p w14:paraId="4CB06FA5" w14:textId="0983243B" w:rsidR="00A624A0" w:rsidRPr="00447671" w:rsidRDefault="00A624A0" w:rsidP="00A624A0">
      <w:pPr>
        <w:pStyle w:val="ListParagraph"/>
        <w:numPr>
          <w:ilvl w:val="1"/>
          <w:numId w:val="4"/>
        </w:numPr>
        <w:rPr>
          <w:i/>
        </w:rPr>
      </w:pPr>
      <w:r w:rsidRPr="00447671">
        <w:rPr>
          <w:i/>
        </w:rPr>
        <w:t xml:space="preserve">git clone </w:t>
      </w:r>
      <w:hyperlink r:id="rId27" w:history="1">
        <w:r w:rsidR="005C6A78">
          <w:rPr>
            <w:rStyle w:val="Hyperlink"/>
          </w:rPr>
          <w:t>https://github.com/microsoft/data-protection-mapping-project</w:t>
        </w:r>
      </w:hyperlink>
    </w:p>
    <w:p w14:paraId="171E4758" w14:textId="0AE666DC" w:rsidR="00A624A0" w:rsidRPr="00447671" w:rsidRDefault="002B546B" w:rsidP="005C6A78">
      <w:pPr>
        <w:pStyle w:val="ListParagraph"/>
        <w:numPr>
          <w:ilvl w:val="0"/>
          <w:numId w:val="4"/>
        </w:numPr>
        <w:rPr>
          <w:i/>
        </w:rPr>
      </w:pPr>
      <w:r>
        <w:t>Modify the data in the master dataset spreadsheet</w:t>
      </w:r>
      <w:r w:rsidR="00A624A0">
        <w:t xml:space="preserve"> .xlsx.</w:t>
      </w:r>
    </w:p>
    <w:p w14:paraId="7FA3AFB7" w14:textId="033447CE" w:rsidR="002B546B" w:rsidRDefault="002B546B" w:rsidP="002B546B">
      <w:pPr>
        <w:pStyle w:val="ListParagraph"/>
        <w:numPr>
          <w:ilvl w:val="0"/>
          <w:numId w:val="4"/>
        </w:numPr>
      </w:pPr>
      <w:r>
        <w:t xml:space="preserve">Publish the </w:t>
      </w:r>
      <w:r w:rsidR="005C6A78">
        <w:t>changed xlsx b</w:t>
      </w:r>
      <w:r>
        <w:t>ack to the repository.</w:t>
      </w:r>
    </w:p>
    <w:p w14:paraId="4598FAE3" w14:textId="77777777" w:rsidR="00A624A0" w:rsidRPr="00447671" w:rsidRDefault="00A624A0" w:rsidP="00A624A0">
      <w:pPr>
        <w:pStyle w:val="ListParagraph"/>
        <w:numPr>
          <w:ilvl w:val="1"/>
          <w:numId w:val="4"/>
        </w:numPr>
        <w:rPr>
          <w:i/>
        </w:rPr>
      </w:pPr>
      <w:r w:rsidRPr="00447671">
        <w:rPr>
          <w:i/>
        </w:rPr>
        <w:t xml:space="preserve">git </w:t>
      </w:r>
      <w:proofErr w:type="gramStart"/>
      <w:r w:rsidRPr="00447671">
        <w:rPr>
          <w:i/>
        </w:rPr>
        <w:t>add .</w:t>
      </w:r>
      <w:proofErr w:type="gramEnd"/>
    </w:p>
    <w:p w14:paraId="18DDB69A" w14:textId="3FB0355F" w:rsidR="00E65A32" w:rsidRPr="00447671" w:rsidRDefault="00A624A0" w:rsidP="00E65A32">
      <w:pPr>
        <w:pStyle w:val="ListParagraph"/>
        <w:numPr>
          <w:ilvl w:val="1"/>
          <w:numId w:val="4"/>
        </w:numPr>
        <w:rPr>
          <w:i/>
        </w:rPr>
      </w:pPr>
      <w:r w:rsidRPr="00447671">
        <w:rPr>
          <w:i/>
        </w:rPr>
        <w:t>git commit -m “</w:t>
      </w:r>
      <w:r w:rsidR="005C6A78">
        <w:rPr>
          <w:i/>
        </w:rPr>
        <w:t>XLSX</w:t>
      </w:r>
      <w:r w:rsidR="00DD1574" w:rsidRPr="00447671">
        <w:rPr>
          <w:i/>
        </w:rPr>
        <w:t xml:space="preserve"> </w:t>
      </w:r>
      <w:r w:rsidRPr="00447671">
        <w:rPr>
          <w:i/>
        </w:rPr>
        <w:t>change notes here”</w:t>
      </w:r>
    </w:p>
    <w:p w14:paraId="7CCE1D7F" w14:textId="77777777" w:rsidR="005C6A78" w:rsidRDefault="00A624A0" w:rsidP="005C6A78">
      <w:pPr>
        <w:pStyle w:val="ListParagraph"/>
        <w:numPr>
          <w:ilvl w:val="1"/>
          <w:numId w:val="4"/>
        </w:numPr>
      </w:pPr>
      <w:r w:rsidRPr="00447671">
        <w:rPr>
          <w:i/>
        </w:rPr>
        <w:t>git push</w:t>
      </w:r>
      <w:r w:rsidR="00E65A32" w:rsidRPr="00447671">
        <w:rPr>
          <w:i/>
        </w:rPr>
        <w:t xml:space="preserve"> </w:t>
      </w:r>
    </w:p>
    <w:p w14:paraId="4404C802" w14:textId="754FA221" w:rsidR="005C6A78" w:rsidRDefault="005C6A78" w:rsidP="005C6A78">
      <w:pPr>
        <w:pStyle w:val="ListParagraph"/>
        <w:numPr>
          <w:ilvl w:val="0"/>
          <w:numId w:val="4"/>
        </w:numPr>
      </w:pPr>
      <w:r>
        <w:t>The automated build pipeline will import the data from the xlsx for public hosting.</w:t>
      </w:r>
      <w:r w:rsidRPr="005C6A78">
        <w:t xml:space="preserve"> </w:t>
      </w:r>
    </w:p>
    <w:p w14:paraId="0679D683" w14:textId="77777777" w:rsidR="005C6A78" w:rsidRDefault="005C6A78" w:rsidP="005C6A78">
      <w:pPr>
        <w:pStyle w:val="ListParagraph"/>
        <w:numPr>
          <w:ilvl w:val="0"/>
          <w:numId w:val="4"/>
        </w:numPr>
      </w:pPr>
      <w:r>
        <w:t>Optional: To preview your changes locally, run the import script to convert the master dataset into the public dataset.</w:t>
      </w:r>
    </w:p>
    <w:p w14:paraId="465A4EEF" w14:textId="4B9DE3AD" w:rsidR="00FE5E22" w:rsidRPr="005C6A78" w:rsidRDefault="005C6A78" w:rsidP="00A311FB">
      <w:pPr>
        <w:pStyle w:val="ListParagraph"/>
        <w:numPr>
          <w:ilvl w:val="1"/>
          <w:numId w:val="4"/>
        </w:numPr>
        <w:rPr>
          <w:b/>
        </w:rPr>
      </w:pPr>
      <w:proofErr w:type="spellStart"/>
      <w:r w:rsidRPr="005C6A78">
        <w:rPr>
          <w:i/>
        </w:rPr>
        <w:t>npm</w:t>
      </w:r>
      <w:proofErr w:type="spellEnd"/>
      <w:r w:rsidRPr="005C6A78">
        <w:rPr>
          <w:i/>
        </w:rPr>
        <w:t xml:space="preserve"> run import</w:t>
      </w:r>
    </w:p>
    <w:p w14:paraId="1192EE29" w14:textId="77777777" w:rsidR="00FE5E22" w:rsidRDefault="00FE5E22" w:rsidP="002B546B">
      <w:pPr>
        <w:rPr>
          <w:b/>
        </w:rPr>
      </w:pPr>
    </w:p>
    <w:p w14:paraId="4CC74B5F" w14:textId="74DFAD67" w:rsidR="00DD1574" w:rsidRPr="00DD1574" w:rsidRDefault="00DD1574" w:rsidP="0028432E">
      <w:pPr>
        <w:pStyle w:val="Heading3"/>
      </w:pPr>
      <w:r w:rsidRPr="00DD1574">
        <w:t>Building the app</w:t>
      </w:r>
      <w:r w:rsidR="005C6A78">
        <w:t xml:space="preserve"> (CI/CD, Production Preview)</w:t>
      </w:r>
      <w:r w:rsidRPr="00DD1574">
        <w:t>:</w:t>
      </w:r>
    </w:p>
    <w:p w14:paraId="14A3695C" w14:textId="77777777" w:rsidR="00DD1574" w:rsidRPr="00DD1574" w:rsidRDefault="00DD1574" w:rsidP="00DD1574">
      <w:r>
        <w:t xml:space="preserve">Building the app requires Node and all the dev dependencies to be installed through </w:t>
      </w:r>
      <w:proofErr w:type="spellStart"/>
      <w:r>
        <w:t>Npm</w:t>
      </w:r>
      <w:proofErr w:type="spellEnd"/>
      <w:r>
        <w:t>.</w:t>
      </w:r>
    </w:p>
    <w:p w14:paraId="5C0DACD6" w14:textId="77777777" w:rsidR="00DD1574" w:rsidRDefault="00DD1574" w:rsidP="00DD1574">
      <w:pPr>
        <w:pStyle w:val="ListParagraph"/>
        <w:numPr>
          <w:ilvl w:val="0"/>
          <w:numId w:val="10"/>
        </w:numPr>
      </w:pPr>
      <w:r>
        <w:t>Check-out the app repository.</w:t>
      </w:r>
    </w:p>
    <w:p w14:paraId="13AC7359" w14:textId="0E8E891B" w:rsidR="00DD1574" w:rsidRPr="00447671" w:rsidRDefault="00DD1574" w:rsidP="00DD1574">
      <w:pPr>
        <w:pStyle w:val="ListParagraph"/>
        <w:numPr>
          <w:ilvl w:val="1"/>
          <w:numId w:val="10"/>
        </w:numPr>
        <w:rPr>
          <w:i/>
        </w:rPr>
      </w:pPr>
      <w:r w:rsidRPr="00447671">
        <w:rPr>
          <w:i/>
        </w:rPr>
        <w:t>git clone</w:t>
      </w:r>
      <w:r w:rsidR="00124FAB" w:rsidRPr="00447671">
        <w:rPr>
          <w:i/>
        </w:rPr>
        <w:t xml:space="preserve"> </w:t>
      </w:r>
      <w:hyperlink r:id="rId28" w:history="1">
        <w:r w:rsidR="005C6A78">
          <w:rPr>
            <w:rStyle w:val="Hyperlink"/>
          </w:rPr>
          <w:t>https://github.com/microsoft/data-protection-mapping-project</w:t>
        </w:r>
      </w:hyperlink>
    </w:p>
    <w:p w14:paraId="59D1DC7F" w14:textId="77777777" w:rsidR="00DD1574" w:rsidRDefault="00DD1574" w:rsidP="00DD1574">
      <w:pPr>
        <w:pStyle w:val="ListParagraph"/>
        <w:numPr>
          <w:ilvl w:val="0"/>
          <w:numId w:val="10"/>
        </w:numPr>
      </w:pPr>
      <w:r>
        <w:t>Navigate to the clone.</w:t>
      </w:r>
    </w:p>
    <w:p w14:paraId="6304D2B2" w14:textId="35994988" w:rsidR="00DD1574" w:rsidRPr="00447671" w:rsidRDefault="005C6A78" w:rsidP="00DD1574">
      <w:pPr>
        <w:pStyle w:val="ListParagraph"/>
        <w:numPr>
          <w:ilvl w:val="1"/>
          <w:numId w:val="10"/>
        </w:numPr>
        <w:rPr>
          <w:i/>
        </w:rPr>
      </w:pPr>
      <w:r>
        <w:rPr>
          <w:i/>
        </w:rPr>
        <w:t xml:space="preserve">cd </w:t>
      </w:r>
      <w:r w:rsidRPr="005C6A78">
        <w:rPr>
          <w:i/>
        </w:rPr>
        <w:t>data-protection-mapping-project</w:t>
      </w:r>
    </w:p>
    <w:p w14:paraId="4B13D958" w14:textId="77777777" w:rsidR="00DD1574" w:rsidRDefault="00DD1574" w:rsidP="00DD1574">
      <w:pPr>
        <w:pStyle w:val="ListParagraph"/>
        <w:numPr>
          <w:ilvl w:val="0"/>
          <w:numId w:val="10"/>
        </w:numPr>
      </w:pPr>
      <w:r>
        <w:t>Install dependencies.</w:t>
      </w:r>
    </w:p>
    <w:p w14:paraId="5385E746" w14:textId="4023164E" w:rsidR="00DD1574" w:rsidRPr="00447671" w:rsidRDefault="00DD1574" w:rsidP="00DD1574">
      <w:pPr>
        <w:pStyle w:val="ListParagraph"/>
        <w:numPr>
          <w:ilvl w:val="1"/>
          <w:numId w:val="10"/>
        </w:numPr>
        <w:rPr>
          <w:i/>
        </w:rPr>
      </w:pPr>
      <w:proofErr w:type="spellStart"/>
      <w:r w:rsidRPr="00447671">
        <w:rPr>
          <w:i/>
        </w:rPr>
        <w:t>npm</w:t>
      </w:r>
      <w:proofErr w:type="spellEnd"/>
      <w:r w:rsidRPr="00447671">
        <w:rPr>
          <w:i/>
        </w:rPr>
        <w:t xml:space="preserve"> </w:t>
      </w:r>
      <w:r w:rsidR="005C6A78">
        <w:rPr>
          <w:i/>
        </w:rPr>
        <w:t>ci</w:t>
      </w:r>
    </w:p>
    <w:p w14:paraId="53064E42" w14:textId="77777777" w:rsidR="00DD1574" w:rsidRDefault="00DD1574" w:rsidP="00DD1574">
      <w:pPr>
        <w:pStyle w:val="ListParagraph"/>
        <w:numPr>
          <w:ilvl w:val="0"/>
          <w:numId w:val="10"/>
        </w:numPr>
      </w:pPr>
      <w:r>
        <w:t>Build the app.</w:t>
      </w:r>
    </w:p>
    <w:p w14:paraId="33F50E0C" w14:textId="77777777" w:rsidR="00DD1574" w:rsidRPr="00447671" w:rsidRDefault="00DD1574" w:rsidP="00DD1574">
      <w:pPr>
        <w:pStyle w:val="ListParagraph"/>
        <w:numPr>
          <w:ilvl w:val="1"/>
          <w:numId w:val="10"/>
        </w:numPr>
        <w:rPr>
          <w:i/>
        </w:rPr>
      </w:pPr>
      <w:proofErr w:type="spellStart"/>
      <w:r w:rsidRPr="00447671">
        <w:rPr>
          <w:i/>
        </w:rPr>
        <w:t>npm</w:t>
      </w:r>
      <w:proofErr w:type="spellEnd"/>
      <w:r w:rsidRPr="00447671">
        <w:rPr>
          <w:i/>
        </w:rPr>
        <w:t xml:space="preserve"> run build</w:t>
      </w:r>
    </w:p>
    <w:p w14:paraId="3138BB81" w14:textId="77777777" w:rsidR="00FE5E22" w:rsidRDefault="00FE5E22" w:rsidP="00DD1574">
      <w:pPr>
        <w:rPr>
          <w:b/>
        </w:rPr>
      </w:pPr>
    </w:p>
    <w:p w14:paraId="687E1D40" w14:textId="4C0C736E" w:rsidR="00DD1574" w:rsidRPr="00B714D6" w:rsidRDefault="00DD1574" w:rsidP="0028432E">
      <w:pPr>
        <w:pStyle w:val="Heading3"/>
      </w:pPr>
      <w:r w:rsidRPr="00B714D6">
        <w:t>Self-hosting the app</w:t>
      </w:r>
      <w:r w:rsidR="005C6A78">
        <w:t xml:space="preserve"> (Local Preview)</w:t>
      </w:r>
      <w:r w:rsidRPr="00B714D6">
        <w:t>:</w:t>
      </w:r>
    </w:p>
    <w:p w14:paraId="493514D7" w14:textId="77777777" w:rsidR="00DD1574" w:rsidRDefault="00DD1574" w:rsidP="00DD1574">
      <w:r>
        <w:t>Self-hosting is useful when developing the app or when previewing changes to the data. To self-host:</w:t>
      </w:r>
    </w:p>
    <w:p w14:paraId="1EAC804F" w14:textId="77777777" w:rsidR="005C6A78" w:rsidRDefault="005C6A78" w:rsidP="005C6A78">
      <w:pPr>
        <w:pStyle w:val="ListParagraph"/>
        <w:numPr>
          <w:ilvl w:val="0"/>
          <w:numId w:val="11"/>
        </w:numPr>
      </w:pPr>
      <w:r>
        <w:t>Check-out the app repository.</w:t>
      </w:r>
    </w:p>
    <w:p w14:paraId="5AC30784" w14:textId="77777777" w:rsidR="005C6A78" w:rsidRPr="00447671" w:rsidRDefault="005C6A78" w:rsidP="005C6A78">
      <w:pPr>
        <w:pStyle w:val="ListParagraph"/>
        <w:numPr>
          <w:ilvl w:val="1"/>
          <w:numId w:val="11"/>
        </w:numPr>
        <w:rPr>
          <w:i/>
        </w:rPr>
      </w:pPr>
      <w:r w:rsidRPr="00447671">
        <w:rPr>
          <w:i/>
        </w:rPr>
        <w:t xml:space="preserve">git clone </w:t>
      </w:r>
      <w:hyperlink r:id="rId29" w:history="1">
        <w:r>
          <w:rPr>
            <w:rStyle w:val="Hyperlink"/>
          </w:rPr>
          <w:t>https://github.com/microsoft/data-protection-mapping-project</w:t>
        </w:r>
      </w:hyperlink>
    </w:p>
    <w:p w14:paraId="0704269D" w14:textId="77777777" w:rsidR="005C6A78" w:rsidRDefault="005C6A78" w:rsidP="005C6A78">
      <w:pPr>
        <w:pStyle w:val="ListParagraph"/>
        <w:numPr>
          <w:ilvl w:val="0"/>
          <w:numId w:val="11"/>
        </w:numPr>
      </w:pPr>
      <w:r>
        <w:t>Navigate to the clone.</w:t>
      </w:r>
    </w:p>
    <w:p w14:paraId="454A1420" w14:textId="77777777" w:rsidR="005C6A78" w:rsidRPr="00447671" w:rsidRDefault="005C6A78" w:rsidP="005C6A78">
      <w:pPr>
        <w:pStyle w:val="ListParagraph"/>
        <w:numPr>
          <w:ilvl w:val="1"/>
          <w:numId w:val="11"/>
        </w:numPr>
        <w:rPr>
          <w:i/>
        </w:rPr>
      </w:pPr>
      <w:r>
        <w:rPr>
          <w:i/>
        </w:rPr>
        <w:t xml:space="preserve">cd </w:t>
      </w:r>
      <w:r w:rsidRPr="005C6A78">
        <w:rPr>
          <w:i/>
        </w:rPr>
        <w:t>data-protection-mapping-project</w:t>
      </w:r>
    </w:p>
    <w:p w14:paraId="45F2E737" w14:textId="77777777" w:rsidR="005C6A78" w:rsidRDefault="005C6A78" w:rsidP="005C6A78">
      <w:pPr>
        <w:pStyle w:val="ListParagraph"/>
        <w:numPr>
          <w:ilvl w:val="0"/>
          <w:numId w:val="11"/>
        </w:numPr>
      </w:pPr>
      <w:r>
        <w:t>Install dependencies.</w:t>
      </w:r>
    </w:p>
    <w:p w14:paraId="129D0FC9" w14:textId="6B3A6F68" w:rsidR="005C6A78" w:rsidRPr="00447671" w:rsidRDefault="005C6A78" w:rsidP="005C6A78">
      <w:pPr>
        <w:pStyle w:val="ListParagraph"/>
        <w:numPr>
          <w:ilvl w:val="1"/>
          <w:numId w:val="11"/>
        </w:numPr>
        <w:rPr>
          <w:i/>
        </w:rPr>
      </w:pPr>
      <w:proofErr w:type="spellStart"/>
      <w:r w:rsidRPr="00447671">
        <w:rPr>
          <w:i/>
        </w:rPr>
        <w:t>npm</w:t>
      </w:r>
      <w:proofErr w:type="spellEnd"/>
      <w:r w:rsidRPr="00447671">
        <w:rPr>
          <w:i/>
        </w:rPr>
        <w:t xml:space="preserve"> </w:t>
      </w:r>
      <w:r>
        <w:rPr>
          <w:i/>
        </w:rPr>
        <w:t>install</w:t>
      </w:r>
    </w:p>
    <w:p w14:paraId="3F6A8EE6" w14:textId="77777777" w:rsidR="00DD1574" w:rsidRDefault="00DD1574" w:rsidP="00DD1574">
      <w:pPr>
        <w:pStyle w:val="ListParagraph"/>
        <w:numPr>
          <w:ilvl w:val="0"/>
          <w:numId w:val="11"/>
        </w:numPr>
      </w:pPr>
      <w:r>
        <w:t>Start the self-host server.</w:t>
      </w:r>
    </w:p>
    <w:p w14:paraId="75F8EE6F" w14:textId="77777777" w:rsidR="00DD1574" w:rsidRPr="00447671" w:rsidRDefault="00DD1574" w:rsidP="00DD1574">
      <w:pPr>
        <w:pStyle w:val="ListParagraph"/>
        <w:numPr>
          <w:ilvl w:val="1"/>
          <w:numId w:val="11"/>
        </w:numPr>
        <w:rPr>
          <w:i/>
        </w:rPr>
      </w:pPr>
      <w:r w:rsidRPr="00447671">
        <w:rPr>
          <w:i/>
        </w:rPr>
        <w:t xml:space="preserve">ng </w:t>
      </w:r>
      <w:proofErr w:type="gramStart"/>
      <w:r w:rsidRPr="00447671">
        <w:rPr>
          <w:i/>
        </w:rPr>
        <w:t>serve</w:t>
      </w:r>
      <w:proofErr w:type="gramEnd"/>
    </w:p>
    <w:p w14:paraId="69E01334" w14:textId="77777777" w:rsidR="00657AF4" w:rsidRDefault="00657AF4" w:rsidP="00657AF4">
      <w:pPr>
        <w:pStyle w:val="ListParagraph"/>
        <w:numPr>
          <w:ilvl w:val="0"/>
          <w:numId w:val="11"/>
        </w:numPr>
      </w:pPr>
      <w:r>
        <w:t>Navigate a web browser to the following URL.</w:t>
      </w:r>
    </w:p>
    <w:p w14:paraId="544DADE5" w14:textId="77777777" w:rsidR="00657AF4" w:rsidRPr="00447671" w:rsidRDefault="00657AF4" w:rsidP="00657AF4">
      <w:pPr>
        <w:pStyle w:val="ListParagraph"/>
        <w:numPr>
          <w:ilvl w:val="1"/>
          <w:numId w:val="11"/>
        </w:numPr>
        <w:rPr>
          <w:i/>
        </w:rPr>
      </w:pPr>
      <w:r w:rsidRPr="00447671">
        <w:rPr>
          <w:i/>
        </w:rPr>
        <w:t>localhost:4200</w:t>
      </w:r>
    </w:p>
    <w:p w14:paraId="43151BA2" w14:textId="77777777" w:rsidR="001024A9" w:rsidRDefault="001024A9" w:rsidP="001024A9"/>
    <w:p w14:paraId="79A77941" w14:textId="78905C95" w:rsidR="001024A9" w:rsidRDefault="001024A9" w:rsidP="001024A9"/>
    <w:sectPr w:rsidR="001024A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2D0E947" w14:textId="77777777" w:rsidR="00933992" w:rsidRDefault="00933992" w:rsidP="0023644D">
      <w:pPr>
        <w:spacing w:after="0" w:line="240" w:lineRule="auto"/>
      </w:pPr>
      <w:r>
        <w:separator/>
      </w:r>
    </w:p>
  </w:endnote>
  <w:endnote w:type="continuationSeparator" w:id="0">
    <w:p w14:paraId="3034AF83" w14:textId="77777777" w:rsidR="00933992" w:rsidRDefault="00933992" w:rsidP="002364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881D3C3" w14:textId="77777777" w:rsidR="00933992" w:rsidRDefault="00933992" w:rsidP="0023644D">
      <w:pPr>
        <w:spacing w:after="0" w:line="240" w:lineRule="auto"/>
      </w:pPr>
      <w:r>
        <w:separator/>
      </w:r>
    </w:p>
  </w:footnote>
  <w:footnote w:type="continuationSeparator" w:id="0">
    <w:p w14:paraId="7D6F0742" w14:textId="77777777" w:rsidR="00933992" w:rsidRDefault="00933992" w:rsidP="0023644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2407D6B"/>
    <w:multiLevelType w:val="hybridMultilevel"/>
    <w:tmpl w:val="69EAB65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C65B82"/>
    <w:multiLevelType w:val="hybridMultilevel"/>
    <w:tmpl w:val="BA365B76"/>
    <w:lvl w:ilvl="0" w:tplc="29667F1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1B4360"/>
    <w:multiLevelType w:val="hybridMultilevel"/>
    <w:tmpl w:val="2098BEF6"/>
    <w:lvl w:ilvl="0" w:tplc="04090011">
      <w:start w:val="1"/>
      <w:numFmt w:val="decimal"/>
      <w:lvlText w:val="%1)"/>
      <w:lvlJc w:val="left"/>
      <w:pPr>
        <w:ind w:left="720" w:hanging="360"/>
      </w:pPr>
      <w:rPr>
        <w:rFonts w:hint="default"/>
      </w:rPr>
    </w:lvl>
    <w:lvl w:ilvl="1" w:tplc="908A8E40">
      <w:start w:val="1"/>
      <w:numFmt w:val="lowerLetter"/>
      <w:lvlText w:val="%2."/>
      <w:lvlJc w:val="left"/>
      <w:pPr>
        <w:ind w:left="1440" w:hanging="360"/>
      </w:pPr>
      <w:rPr>
        <w:b w:val="0"/>
        <w:bCs/>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806970"/>
    <w:multiLevelType w:val="hybridMultilevel"/>
    <w:tmpl w:val="5C1AD77C"/>
    <w:lvl w:ilvl="0" w:tplc="29667F1E">
      <w:start w:val="1"/>
      <w:numFmt w:val="bullet"/>
      <w:lvlText w:val=""/>
      <w:lvlJc w:val="left"/>
      <w:pPr>
        <w:ind w:left="410" w:hanging="360"/>
      </w:pPr>
      <w:rPr>
        <w:rFonts w:ascii="Symbol" w:eastAsiaTheme="minorHAnsi" w:hAnsi="Symbol" w:cstheme="minorBid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4" w15:restartNumberingAfterBreak="0">
    <w:nsid w:val="1CAA5945"/>
    <w:multiLevelType w:val="hybridMultilevel"/>
    <w:tmpl w:val="283A7FB6"/>
    <w:lvl w:ilvl="0" w:tplc="8A2C4792">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5" w15:restartNumberingAfterBreak="0">
    <w:nsid w:val="1FFB22FC"/>
    <w:multiLevelType w:val="hybridMultilevel"/>
    <w:tmpl w:val="B900EE06"/>
    <w:lvl w:ilvl="0" w:tplc="29667F1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332EF8"/>
    <w:multiLevelType w:val="hybridMultilevel"/>
    <w:tmpl w:val="50CC2BC0"/>
    <w:lvl w:ilvl="0" w:tplc="29667F1E">
      <w:start w:val="1"/>
      <w:numFmt w:val="bullet"/>
      <w:lvlText w:val=""/>
      <w:lvlJc w:val="left"/>
      <w:pPr>
        <w:ind w:left="410" w:hanging="360"/>
      </w:pPr>
      <w:rPr>
        <w:rFonts w:ascii="Symbol" w:eastAsiaTheme="minorHAnsi" w:hAnsi="Symbol" w:cstheme="minorBidi" w:hint="default"/>
      </w:rPr>
    </w:lvl>
    <w:lvl w:ilvl="1" w:tplc="04090003">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abstractNum w:abstractNumId="7" w15:restartNumberingAfterBreak="0">
    <w:nsid w:val="28CE13C4"/>
    <w:multiLevelType w:val="multilevel"/>
    <w:tmpl w:val="E1AAD8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96370D6"/>
    <w:multiLevelType w:val="hybridMultilevel"/>
    <w:tmpl w:val="2EEC7D34"/>
    <w:lvl w:ilvl="0" w:tplc="D08AD258">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C0C10FC"/>
    <w:multiLevelType w:val="hybridMultilevel"/>
    <w:tmpl w:val="B1A80864"/>
    <w:lvl w:ilvl="0" w:tplc="29667F1E">
      <w:start w:val="1"/>
      <w:numFmt w:val="bullet"/>
      <w:lvlText w:val=""/>
      <w:lvlJc w:val="left"/>
      <w:pPr>
        <w:ind w:left="720" w:hanging="360"/>
      </w:pPr>
      <w:rPr>
        <w:rFonts w:ascii="Symbol" w:eastAsiaTheme="minorHAnsi" w:hAnsi="Symbol"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3697C58"/>
    <w:multiLevelType w:val="hybridMultilevel"/>
    <w:tmpl w:val="3F144836"/>
    <w:lvl w:ilvl="0" w:tplc="29667F1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B30A8A"/>
    <w:multiLevelType w:val="hybridMultilevel"/>
    <w:tmpl w:val="04EE9ECA"/>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5AD01B44"/>
    <w:multiLevelType w:val="hybridMultilevel"/>
    <w:tmpl w:val="3528C36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58208AC"/>
    <w:multiLevelType w:val="hybridMultilevel"/>
    <w:tmpl w:val="1648094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70146FF1"/>
    <w:multiLevelType w:val="hybridMultilevel"/>
    <w:tmpl w:val="FDE048D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1C4479F"/>
    <w:multiLevelType w:val="hybridMultilevel"/>
    <w:tmpl w:val="169A7B6C"/>
    <w:lvl w:ilvl="0" w:tplc="29667F1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AA7280D"/>
    <w:multiLevelType w:val="hybridMultilevel"/>
    <w:tmpl w:val="E88249BC"/>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7D324485"/>
    <w:multiLevelType w:val="hybridMultilevel"/>
    <w:tmpl w:val="ED1278FE"/>
    <w:lvl w:ilvl="0" w:tplc="7F1E1B9E">
      <w:numFmt w:val="bullet"/>
      <w:lvlText w:val="-"/>
      <w:lvlJc w:val="left"/>
      <w:pPr>
        <w:ind w:left="410" w:hanging="360"/>
      </w:pPr>
      <w:rPr>
        <w:rFonts w:ascii="Calibri" w:eastAsiaTheme="minorHAnsi" w:hAnsi="Calibri" w:cs="Calibri" w:hint="default"/>
      </w:rPr>
    </w:lvl>
    <w:lvl w:ilvl="1" w:tplc="04090003" w:tentative="1">
      <w:start w:val="1"/>
      <w:numFmt w:val="bullet"/>
      <w:lvlText w:val="o"/>
      <w:lvlJc w:val="left"/>
      <w:pPr>
        <w:ind w:left="1130" w:hanging="360"/>
      </w:pPr>
      <w:rPr>
        <w:rFonts w:ascii="Courier New" w:hAnsi="Courier New" w:cs="Courier New" w:hint="default"/>
      </w:rPr>
    </w:lvl>
    <w:lvl w:ilvl="2" w:tplc="04090005" w:tentative="1">
      <w:start w:val="1"/>
      <w:numFmt w:val="bullet"/>
      <w:lvlText w:val=""/>
      <w:lvlJc w:val="left"/>
      <w:pPr>
        <w:ind w:left="1850" w:hanging="360"/>
      </w:pPr>
      <w:rPr>
        <w:rFonts w:ascii="Wingdings" w:hAnsi="Wingdings" w:hint="default"/>
      </w:rPr>
    </w:lvl>
    <w:lvl w:ilvl="3" w:tplc="04090001" w:tentative="1">
      <w:start w:val="1"/>
      <w:numFmt w:val="bullet"/>
      <w:lvlText w:val=""/>
      <w:lvlJc w:val="left"/>
      <w:pPr>
        <w:ind w:left="2570" w:hanging="360"/>
      </w:pPr>
      <w:rPr>
        <w:rFonts w:ascii="Symbol" w:hAnsi="Symbol" w:hint="default"/>
      </w:rPr>
    </w:lvl>
    <w:lvl w:ilvl="4" w:tplc="04090003" w:tentative="1">
      <w:start w:val="1"/>
      <w:numFmt w:val="bullet"/>
      <w:lvlText w:val="o"/>
      <w:lvlJc w:val="left"/>
      <w:pPr>
        <w:ind w:left="3290" w:hanging="360"/>
      </w:pPr>
      <w:rPr>
        <w:rFonts w:ascii="Courier New" w:hAnsi="Courier New" w:cs="Courier New" w:hint="default"/>
      </w:rPr>
    </w:lvl>
    <w:lvl w:ilvl="5" w:tplc="04090005" w:tentative="1">
      <w:start w:val="1"/>
      <w:numFmt w:val="bullet"/>
      <w:lvlText w:val=""/>
      <w:lvlJc w:val="left"/>
      <w:pPr>
        <w:ind w:left="4010" w:hanging="360"/>
      </w:pPr>
      <w:rPr>
        <w:rFonts w:ascii="Wingdings" w:hAnsi="Wingdings" w:hint="default"/>
      </w:rPr>
    </w:lvl>
    <w:lvl w:ilvl="6" w:tplc="04090001" w:tentative="1">
      <w:start w:val="1"/>
      <w:numFmt w:val="bullet"/>
      <w:lvlText w:val=""/>
      <w:lvlJc w:val="left"/>
      <w:pPr>
        <w:ind w:left="4730" w:hanging="360"/>
      </w:pPr>
      <w:rPr>
        <w:rFonts w:ascii="Symbol" w:hAnsi="Symbol" w:hint="default"/>
      </w:rPr>
    </w:lvl>
    <w:lvl w:ilvl="7" w:tplc="04090003" w:tentative="1">
      <w:start w:val="1"/>
      <w:numFmt w:val="bullet"/>
      <w:lvlText w:val="o"/>
      <w:lvlJc w:val="left"/>
      <w:pPr>
        <w:ind w:left="5450" w:hanging="360"/>
      </w:pPr>
      <w:rPr>
        <w:rFonts w:ascii="Courier New" w:hAnsi="Courier New" w:cs="Courier New" w:hint="default"/>
      </w:rPr>
    </w:lvl>
    <w:lvl w:ilvl="8" w:tplc="04090005" w:tentative="1">
      <w:start w:val="1"/>
      <w:numFmt w:val="bullet"/>
      <w:lvlText w:val=""/>
      <w:lvlJc w:val="left"/>
      <w:pPr>
        <w:ind w:left="6170" w:hanging="360"/>
      </w:pPr>
      <w:rPr>
        <w:rFonts w:ascii="Wingdings" w:hAnsi="Wingdings" w:hint="default"/>
      </w:rPr>
    </w:lvl>
  </w:abstractNum>
  <w:num w:numId="1">
    <w:abstractNumId w:val="14"/>
  </w:num>
  <w:num w:numId="2">
    <w:abstractNumId w:val="13"/>
  </w:num>
  <w:num w:numId="3">
    <w:abstractNumId w:val="12"/>
  </w:num>
  <w:num w:numId="4">
    <w:abstractNumId w:val="2"/>
  </w:num>
  <w:num w:numId="5">
    <w:abstractNumId w:val="8"/>
  </w:num>
  <w:num w:numId="6">
    <w:abstractNumId w:val="15"/>
  </w:num>
  <w:num w:numId="7">
    <w:abstractNumId w:val="9"/>
  </w:num>
  <w:num w:numId="8">
    <w:abstractNumId w:val="10"/>
  </w:num>
  <w:num w:numId="9">
    <w:abstractNumId w:val="0"/>
  </w:num>
  <w:num w:numId="10">
    <w:abstractNumId w:val="16"/>
  </w:num>
  <w:num w:numId="11">
    <w:abstractNumId w:val="11"/>
  </w:num>
  <w:num w:numId="12">
    <w:abstractNumId w:val="1"/>
  </w:num>
  <w:num w:numId="13">
    <w:abstractNumId w:val="4"/>
  </w:num>
  <w:num w:numId="14">
    <w:abstractNumId w:val="3"/>
  </w:num>
  <w:num w:numId="15">
    <w:abstractNumId w:val="5"/>
  </w:num>
  <w:num w:numId="16">
    <w:abstractNumId w:val="17"/>
  </w:num>
  <w:num w:numId="17">
    <w:abstractNumId w:val="6"/>
  </w:num>
  <w:num w:numId="1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web"/>
  <w:zoom w:percent="16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14C2"/>
    <w:rsid w:val="00001AA1"/>
    <w:rsid w:val="00004B7F"/>
    <w:rsid w:val="00020F48"/>
    <w:rsid w:val="00040B4B"/>
    <w:rsid w:val="000A3290"/>
    <w:rsid w:val="000B0E75"/>
    <w:rsid w:val="000E13FF"/>
    <w:rsid w:val="001024A9"/>
    <w:rsid w:val="001146E7"/>
    <w:rsid w:val="00116FF3"/>
    <w:rsid w:val="00124FAB"/>
    <w:rsid w:val="001503C2"/>
    <w:rsid w:val="00167183"/>
    <w:rsid w:val="001F1F9D"/>
    <w:rsid w:val="0020309C"/>
    <w:rsid w:val="002071D3"/>
    <w:rsid w:val="0022472D"/>
    <w:rsid w:val="0023644D"/>
    <w:rsid w:val="00282C24"/>
    <w:rsid w:val="0028432E"/>
    <w:rsid w:val="002B546B"/>
    <w:rsid w:val="002C7793"/>
    <w:rsid w:val="002D3CE4"/>
    <w:rsid w:val="002F2310"/>
    <w:rsid w:val="003057E1"/>
    <w:rsid w:val="00312061"/>
    <w:rsid w:val="00330EFB"/>
    <w:rsid w:val="00360A69"/>
    <w:rsid w:val="00395C24"/>
    <w:rsid w:val="003D1111"/>
    <w:rsid w:val="00402A81"/>
    <w:rsid w:val="004352D0"/>
    <w:rsid w:val="004439B0"/>
    <w:rsid w:val="00446C01"/>
    <w:rsid w:val="00447671"/>
    <w:rsid w:val="00467962"/>
    <w:rsid w:val="004D0D7E"/>
    <w:rsid w:val="004F18D6"/>
    <w:rsid w:val="004F76CF"/>
    <w:rsid w:val="005572CD"/>
    <w:rsid w:val="00572A69"/>
    <w:rsid w:val="00582557"/>
    <w:rsid w:val="0059472A"/>
    <w:rsid w:val="005A4FFC"/>
    <w:rsid w:val="005C2B4C"/>
    <w:rsid w:val="005C6A78"/>
    <w:rsid w:val="005C7DB9"/>
    <w:rsid w:val="00611D83"/>
    <w:rsid w:val="006529C6"/>
    <w:rsid w:val="00657AF4"/>
    <w:rsid w:val="0066534D"/>
    <w:rsid w:val="00691860"/>
    <w:rsid w:val="006A430B"/>
    <w:rsid w:val="006B0B8C"/>
    <w:rsid w:val="006B7CB5"/>
    <w:rsid w:val="006C15EA"/>
    <w:rsid w:val="006D14C2"/>
    <w:rsid w:val="007262A2"/>
    <w:rsid w:val="007361BC"/>
    <w:rsid w:val="0077069B"/>
    <w:rsid w:val="007909C6"/>
    <w:rsid w:val="007A3827"/>
    <w:rsid w:val="007B1FA1"/>
    <w:rsid w:val="007E2A5B"/>
    <w:rsid w:val="00802660"/>
    <w:rsid w:val="00850378"/>
    <w:rsid w:val="008538D4"/>
    <w:rsid w:val="00871312"/>
    <w:rsid w:val="00872C53"/>
    <w:rsid w:val="00882C60"/>
    <w:rsid w:val="008A5E1B"/>
    <w:rsid w:val="008B5323"/>
    <w:rsid w:val="008C5D08"/>
    <w:rsid w:val="00911911"/>
    <w:rsid w:val="00921E94"/>
    <w:rsid w:val="00933992"/>
    <w:rsid w:val="009356B7"/>
    <w:rsid w:val="00954AE4"/>
    <w:rsid w:val="00987BC0"/>
    <w:rsid w:val="009A229B"/>
    <w:rsid w:val="009C16BF"/>
    <w:rsid w:val="009C2839"/>
    <w:rsid w:val="009F2ED8"/>
    <w:rsid w:val="00A05AC0"/>
    <w:rsid w:val="00A065BB"/>
    <w:rsid w:val="00A106AA"/>
    <w:rsid w:val="00A278B6"/>
    <w:rsid w:val="00A32FC9"/>
    <w:rsid w:val="00A46E0F"/>
    <w:rsid w:val="00A624A0"/>
    <w:rsid w:val="00AA3106"/>
    <w:rsid w:val="00B04290"/>
    <w:rsid w:val="00B367A1"/>
    <w:rsid w:val="00B66B72"/>
    <w:rsid w:val="00B714D6"/>
    <w:rsid w:val="00BA3B54"/>
    <w:rsid w:val="00BD563B"/>
    <w:rsid w:val="00C1574C"/>
    <w:rsid w:val="00C3320F"/>
    <w:rsid w:val="00C4117C"/>
    <w:rsid w:val="00C9478A"/>
    <w:rsid w:val="00CA7287"/>
    <w:rsid w:val="00CC5AA6"/>
    <w:rsid w:val="00CC7BCF"/>
    <w:rsid w:val="00CD4665"/>
    <w:rsid w:val="00CD7919"/>
    <w:rsid w:val="00CE3438"/>
    <w:rsid w:val="00CE5AC2"/>
    <w:rsid w:val="00CF51BE"/>
    <w:rsid w:val="00D13D5A"/>
    <w:rsid w:val="00D17D40"/>
    <w:rsid w:val="00D21090"/>
    <w:rsid w:val="00D30FA0"/>
    <w:rsid w:val="00D342AF"/>
    <w:rsid w:val="00D54DDA"/>
    <w:rsid w:val="00D64F44"/>
    <w:rsid w:val="00D95C9B"/>
    <w:rsid w:val="00D96EAE"/>
    <w:rsid w:val="00DB37A8"/>
    <w:rsid w:val="00DD1574"/>
    <w:rsid w:val="00E042A9"/>
    <w:rsid w:val="00E0430B"/>
    <w:rsid w:val="00E46F1D"/>
    <w:rsid w:val="00E55EC5"/>
    <w:rsid w:val="00E65A32"/>
    <w:rsid w:val="00E7587F"/>
    <w:rsid w:val="00E82646"/>
    <w:rsid w:val="00EE0283"/>
    <w:rsid w:val="00EE2AB6"/>
    <w:rsid w:val="00EF2450"/>
    <w:rsid w:val="00F07639"/>
    <w:rsid w:val="00F13C16"/>
    <w:rsid w:val="00F40C86"/>
    <w:rsid w:val="00F7003F"/>
    <w:rsid w:val="00F74E45"/>
    <w:rsid w:val="00FC38AE"/>
    <w:rsid w:val="00FE5327"/>
    <w:rsid w:val="00FE5E2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31CAFDB"/>
  <w15:chartTrackingRefBased/>
  <w15:docId w15:val="{D956FA6E-356B-436C-BC82-98EF242079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80266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0266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065B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EF2450"/>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D14C2"/>
    <w:pPr>
      <w:ind w:left="720"/>
      <w:contextualSpacing/>
    </w:pPr>
  </w:style>
  <w:style w:type="character" w:styleId="Hyperlink">
    <w:name w:val="Hyperlink"/>
    <w:basedOn w:val="DefaultParagraphFont"/>
    <w:uiPriority w:val="99"/>
    <w:unhideWhenUsed/>
    <w:rsid w:val="00D95C9B"/>
    <w:rPr>
      <w:color w:val="0000FF"/>
      <w:u w:val="single"/>
    </w:rPr>
  </w:style>
  <w:style w:type="character" w:styleId="UnresolvedMention">
    <w:name w:val="Unresolved Mention"/>
    <w:basedOn w:val="DefaultParagraphFont"/>
    <w:uiPriority w:val="99"/>
    <w:semiHidden/>
    <w:unhideWhenUsed/>
    <w:rsid w:val="00D95C9B"/>
    <w:rPr>
      <w:color w:val="808080"/>
      <w:shd w:val="clear" w:color="auto" w:fill="E6E6E6"/>
    </w:rPr>
  </w:style>
  <w:style w:type="paragraph" w:styleId="NoSpacing">
    <w:name w:val="No Spacing"/>
    <w:uiPriority w:val="1"/>
    <w:qFormat/>
    <w:rsid w:val="00282C24"/>
    <w:pPr>
      <w:spacing w:after="0" w:line="240" w:lineRule="auto"/>
    </w:pPr>
  </w:style>
  <w:style w:type="character" w:customStyle="1" w:styleId="Heading1Char">
    <w:name w:val="Heading 1 Char"/>
    <w:basedOn w:val="DefaultParagraphFont"/>
    <w:link w:val="Heading1"/>
    <w:uiPriority w:val="9"/>
    <w:rsid w:val="0080266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02660"/>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802660"/>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A065BB"/>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EF2450"/>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952983">
      <w:bodyDiv w:val="1"/>
      <w:marLeft w:val="0"/>
      <w:marRight w:val="0"/>
      <w:marTop w:val="0"/>
      <w:marBottom w:val="0"/>
      <w:divBdr>
        <w:top w:val="none" w:sz="0" w:space="0" w:color="auto"/>
        <w:left w:val="none" w:sz="0" w:space="0" w:color="auto"/>
        <w:bottom w:val="none" w:sz="0" w:space="0" w:color="auto"/>
        <w:right w:val="none" w:sz="0" w:space="0" w:color="auto"/>
      </w:divBdr>
    </w:div>
    <w:div w:id="1239826151">
      <w:bodyDiv w:val="1"/>
      <w:marLeft w:val="0"/>
      <w:marRight w:val="0"/>
      <w:marTop w:val="0"/>
      <w:marBottom w:val="0"/>
      <w:divBdr>
        <w:top w:val="none" w:sz="0" w:space="0" w:color="auto"/>
        <w:left w:val="none" w:sz="0" w:space="0" w:color="auto"/>
        <w:bottom w:val="none" w:sz="0" w:space="0" w:color="auto"/>
        <w:right w:val="none" w:sz="0" w:space="0" w:color="auto"/>
      </w:divBdr>
    </w:div>
    <w:div w:id="17902750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microsoft/data-protection-mapping-project" TargetMode="External"/><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hyperlink" Target="https://github.com/microsoft/data-protection-mapping-project/blob/master/src/assets/database.xlsx" TargetMode="External"/><Relationship Id="rId3" Type="http://schemas.openxmlformats.org/officeDocument/2006/relationships/settings" Target="settings.xml"/><Relationship Id="rId21" Type="http://schemas.openxmlformats.org/officeDocument/2006/relationships/image" Target="media/image10.png"/><Relationship Id="rId7" Type="http://schemas.openxmlformats.org/officeDocument/2006/relationships/hyperlink" Target="mailto:alli@microsoft.com" TargetMode="Externa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hyperlink" Target="https://github.com/microsoft/data-protection-mapping-project"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github.com/microsoft/data-protection-mapping-project/blob/master/README.md" TargetMode="External"/><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hyperlink" Target="https://github.com/microsoft/data-protection-mapping-project" TargetMode="External"/><Relationship Id="rId10" Type="http://schemas.openxmlformats.org/officeDocument/2006/relationships/hyperlink" Target="https://dataprotectionmapping.z21.web.core.windows.net" TargetMode="Externa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aka.ms/dpmap" TargetMode="Externa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hyperlink" Target="https://github.com/microsoft/data-protection-mapping-project"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304</TotalTime>
  <Pages>1</Pages>
  <Words>1995</Words>
  <Characters>11374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Matt Kincaid</dc:creator>
  <cp:keywords/>
  <dc:description/>
  <cp:lastModifiedBy>Alex Li</cp:lastModifiedBy>
  <cp:revision>83</cp:revision>
  <dcterms:created xsi:type="dcterms:W3CDTF">2020-02-14T07:07:00Z</dcterms:created>
  <dcterms:modified xsi:type="dcterms:W3CDTF">2020-08-27T16:32:00Z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SetDate">
    <vt:lpwstr>2020-02-18T23:40:58.3818573Z</vt:lpwstr>
  </property>
  <property fmtid="{D5CDD505-2E9C-101B-9397-08002B2CF9AE}" pid="5" name="MSIP_Label_f42aa342-8706-4288-bd11-ebb85995028c_Name">
    <vt:lpwstr>General</vt:lpwstr>
  </property>
  <property fmtid="{D5CDD505-2E9C-101B-9397-08002B2CF9AE}" pid="6" name="MSIP_Label_f42aa342-8706-4288-bd11-ebb85995028c_ActionId">
    <vt:lpwstr>29656acb-bc51-49ef-9b9e-3b4d4a33c5e9</vt:lpwstr>
  </property>
  <property fmtid="{D5CDD505-2E9C-101B-9397-08002B2CF9AE}" pid="7" name="MSIP_Label_f42aa342-8706-4288-bd11-ebb85995028c_Extended_MSFT_Method">
    <vt:lpwstr>Automatic</vt:lpwstr>
  </property>
  <property fmtid="{D5CDD505-2E9C-101B-9397-08002B2CF9AE}" pid="8" name="Sensitivity">
    <vt:lpwstr>General</vt:lpwstr>
  </property>
</Properties>
</file>