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Cloud SOC Homelab</w:t>
      </w:r>
    </w:p>
    <w:p>
      <w:pPr>
        <w:spacing w:after="400"/>
      </w:pPr>
      <w:r>
        <w:rPr>
          <w:i/>
          <w:iCs/>
          <w:color w:val="444444"/>
          <w:sz w:val="26"/>
          <w:szCs w:val="26"/>
        </w:rPr>
        <w:t xml:space="preserve">Building a Threat Detection Lab on Microsoft Azure with Sentinel, Log Analytics, and Sysmon</w:t>
      </w:r>
    </w:p>
    <w:p>
      <w:pPr>
        <w:spacing w:after="160"/>
      </w:pPr>
      <w:r>
        <w:t xml:space="preserve">This document summarizes a self-directed homelab project focused on building cloud-native security monitoring and detection engineering skills. It walks through the architecture, the build process, the detection queries developed, and the challenges encountered along the way. It was reconstructed from the PowerShell/Azure CLI command history captured during the build.</w:t>
      </w:r>
    </w:p>
    <w:p>
      <w:pPr>
        <w:pStyle w:val="Heading1"/>
        <w:spacing w:after="200" w:before="400"/>
      </w:pPr>
      <w:r>
        <w:t xml:space="preserve">1. Objective</w:t>
      </w:r>
    </w:p>
    <w:p>
      <w:pPr>
        <w:spacing w:after="160"/>
      </w:pPr>
      <w:r>
        <w:t xml:space="preserve">The goal of this lab was to stand up a small, realistic Security Operations Center (SOC) environment in Azure to practice the full lifecycle of cloud security monitoring: provisioning infrastructure securely, ingesting telemetry from an endpoint, onboarding Microsoft Sentinel as a SIEM, and writing KQL detection queries against real Windows event and Sysmon data.</w:t>
      </w:r>
    </w:p>
    <w:p>
      <w:pPr>
        <w:spacing w:after="160"/>
      </w:pPr>
      <w:r>
        <w:t xml:space="preserve">Specific skills exercised:</w:t>
      </w:r>
    </w:p>
    <w:p>
      <w:pPr>
        <w:pStyle w:val="ListParagraph"/>
        <w:numPr>
          <w:ilvl w:val="0"/>
          <w:numId w:val="1"/>
        </w:numPr>
        <w:spacing w:after="80"/>
      </w:pPr>
      <w:r>
        <w:t xml:space="preserve">Secure Azure network design (VNet, NSG, least-privilege inbound access)</w:t>
      </w:r>
    </w:p>
    <w:p>
      <w:pPr>
        <w:pStyle w:val="ListParagraph"/>
        <w:numPr>
          <w:ilvl w:val="0"/>
          <w:numId w:val="1"/>
        </w:numPr>
        <w:spacing w:after="80"/>
      </w:pPr>
      <w:r>
        <w:t xml:space="preserve">Azure Monitor Agent (AMA) and Data Collection Rule (DCR) configuration</w:t>
      </w:r>
    </w:p>
    <w:p>
      <w:pPr>
        <w:pStyle w:val="ListParagraph"/>
        <w:numPr>
          <w:ilvl w:val="0"/>
          <w:numId w:val="1"/>
        </w:numPr>
        <w:spacing w:after="80"/>
      </w:pPr>
      <w:r>
        <w:t xml:space="preserve">Microsoft Sentinel onboarding, including resource provider registration</w:t>
      </w:r>
    </w:p>
    <w:p>
      <w:pPr>
        <w:pStyle w:val="ListParagraph"/>
        <w:numPr>
          <w:ilvl w:val="0"/>
          <w:numId w:val="1"/>
        </w:numPr>
        <w:spacing w:after="80"/>
      </w:pPr>
      <w:r>
        <w:t xml:space="preserve">KQL query development for endpoint detection and response (EDR)-style analytics</w:t>
      </w:r>
    </w:p>
    <w:p>
      <w:pPr>
        <w:pStyle w:val="ListParagraph"/>
        <w:numPr>
          <w:ilvl w:val="0"/>
          <w:numId w:val="1"/>
        </w:numPr>
        <w:spacing w:after="80"/>
      </w:pPr>
      <w:r>
        <w:t xml:space="preserve">Cost and governance awareness in a personal Azure subscription</w:t>
      </w:r>
    </w:p>
    <w:p>
      <w:pPr>
        <w:pStyle w:val="Heading1"/>
        <w:spacing w:after="200" w:before="400"/>
      </w:pPr>
      <w:r>
        <w:t xml:space="preserve">2. Architecture</w:t>
      </w:r>
    </w:p>
    <w:p>
      <w:pPr>
        <w:spacing w:after="160"/>
      </w:pPr>
      <w:r>
        <w:t xml:space="preserve">The lab consists of a single resource group containing an isolated virtual network, a Windows 11 endpoint, and the Log Analytics / Sentinel workspace that receives its telemetry.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1F4E79" w:val="clear"/>
            <w:vAlign w:val="center"/>
          </w:tcPr>
          <w:p>
            <w:r>
              <w:rPr>
                <w:b/>
                <w:bCs/>
                <w:color w:val="FFFFFF"/>
                <w:sz w:val="20"/>
                <w:szCs w:val="20"/>
              </w:rPr>
              <w:t xml:space="preserve">Component</w:t>
            </w:r>
          </w:p>
        </w:tc>
        <w:tc>
          <w:tcPr>
            <w:tcW w:type="dxa" w:w="3400"/>
            <w:shd w:fill="1F4E79" w:val="clear"/>
            <w:vAlign w:val="center"/>
          </w:tcPr>
          <w:p>
            <w:r>
              <w:rPr>
                <w:b/>
                <w:bCs/>
                <w:color w:val="FFFFFF"/>
                <w:sz w:val="20"/>
                <w:szCs w:val="20"/>
              </w:rPr>
              <w:t xml:space="preserve">Resource</w:t>
            </w:r>
          </w:p>
        </w:tc>
        <w:tc>
          <w:tcPr>
            <w:tcW w:type="dxa" w:w="3550"/>
            <w:shd w:fill="1F4E79" w:val="clear"/>
            <w:vAlign w:val="center"/>
          </w:tcPr>
          <w:p>
            <w:r>
              <w:rPr>
                <w:b/>
                <w:bCs/>
                <w:color w:val="FFFFFF"/>
                <w:sz w:val="20"/>
                <w:szCs w:val="20"/>
              </w:rPr>
              <w:t xml:space="preserve">Purpose</w:t>
            </w:r>
          </w:p>
        </w:tc>
      </w:tr>
      <w:tr>
        <w:tc>
          <w:tcPr>
            <w:tcW w:type="dxa" w:w="2400"/>
            <w:shd w:fill="FFFFFF" w:val="clear"/>
            <w:vAlign w:val="center"/>
          </w:tcPr>
          <w:p>
            <w:r>
              <w:rPr>
                <w:b w:val="false"/>
                <w:bCs w:val="false"/>
                <w:sz w:val="20"/>
                <w:szCs w:val="20"/>
              </w:rPr>
              <w:t xml:space="preserve">Resource Group</w:t>
            </w:r>
          </w:p>
        </w:tc>
        <w:tc>
          <w:tcPr>
            <w:tcW w:type="dxa" w:w="3400"/>
            <w:shd w:fill="FFFFFF" w:val="clear"/>
            <w:vAlign w:val="center"/>
          </w:tcPr>
          <w:p>
            <w:r>
              <w:rPr>
                <w:b w:val="false"/>
                <w:bCs w:val="false"/>
                <w:sz w:val="20"/>
                <w:szCs w:val="20"/>
              </w:rPr>
              <w:t xml:space="preserve">cybersec-homelab-rg</w:t>
            </w:r>
          </w:p>
        </w:tc>
        <w:tc>
          <w:tcPr>
            <w:tcW w:type="dxa" w:w="3550"/>
            <w:shd w:fill="FFFFFF" w:val="clear"/>
            <w:vAlign w:val="center"/>
          </w:tcPr>
          <w:p>
            <w:r>
              <w:rPr>
                <w:b w:val="false"/>
                <w:bCs w:val="false"/>
                <w:sz w:val="20"/>
                <w:szCs w:val="20"/>
              </w:rPr>
              <w:t xml:space="preserve">Logical container for all lab resources</w:t>
            </w:r>
          </w:p>
        </w:tc>
      </w:tr>
      <w:tr>
        <w:tc>
          <w:tcPr>
            <w:tcW w:type="dxa" w:w="2400"/>
            <w:shd w:fill="EAF1F8" w:val="clear"/>
            <w:vAlign w:val="center"/>
          </w:tcPr>
          <w:p>
            <w:r>
              <w:rPr>
                <w:b w:val="false"/>
                <w:bCs w:val="false"/>
                <w:sz w:val="20"/>
                <w:szCs w:val="20"/>
              </w:rPr>
              <w:t xml:space="preserve">Virtual Network</w:t>
            </w:r>
          </w:p>
        </w:tc>
        <w:tc>
          <w:tcPr>
            <w:tcW w:type="dxa" w:w="3400"/>
            <w:shd w:fill="EAF1F8" w:val="clear"/>
            <w:vAlign w:val="center"/>
          </w:tcPr>
          <w:p>
            <w:r>
              <w:rPr>
                <w:b w:val="false"/>
                <w:bCs w:val="false"/>
                <w:sz w:val="20"/>
                <w:szCs w:val="20"/>
              </w:rPr>
              <w:t xml:space="preserve">cyberlab-vnet (10.10.0.0/16)</w:t>
            </w:r>
          </w:p>
        </w:tc>
        <w:tc>
          <w:tcPr>
            <w:tcW w:type="dxa" w:w="3550"/>
            <w:shd w:fill="EAF1F8" w:val="clear"/>
            <w:vAlign w:val="center"/>
          </w:tcPr>
          <w:p>
            <w:r>
              <w:rPr>
                <w:b w:val="false"/>
                <w:bCs w:val="false"/>
                <w:sz w:val="20"/>
                <w:szCs w:val="20"/>
              </w:rPr>
              <w:t xml:space="preserve">Isolated network segment for the lab</w:t>
            </w:r>
          </w:p>
        </w:tc>
      </w:tr>
      <w:tr>
        <w:tc>
          <w:tcPr>
            <w:tcW w:type="dxa" w:w="2400"/>
            <w:shd w:fill="FFFFFF" w:val="clear"/>
            <w:vAlign w:val="center"/>
          </w:tcPr>
          <w:p>
            <w:r>
              <w:rPr>
                <w:b w:val="false"/>
                <w:bCs w:val="false"/>
                <w:sz w:val="20"/>
                <w:szCs w:val="20"/>
              </w:rPr>
              <w:t xml:space="preserve">Subnet</w:t>
            </w:r>
          </w:p>
        </w:tc>
        <w:tc>
          <w:tcPr>
            <w:tcW w:type="dxa" w:w="3400"/>
            <w:shd w:fill="FFFFFF" w:val="clear"/>
            <w:vAlign w:val="center"/>
          </w:tcPr>
          <w:p>
            <w:r>
              <w:rPr>
                <w:b w:val="false"/>
                <w:bCs w:val="false"/>
                <w:sz w:val="20"/>
                <w:szCs w:val="20"/>
              </w:rPr>
              <w:t xml:space="preserve">cyberlab-subnet (10.10.1.0/24)</w:t>
            </w:r>
          </w:p>
        </w:tc>
        <w:tc>
          <w:tcPr>
            <w:tcW w:type="dxa" w:w="3550"/>
            <w:shd w:fill="FFFFFF" w:val="clear"/>
            <w:vAlign w:val="center"/>
          </w:tcPr>
          <w:p>
            <w:r>
              <w:rPr>
                <w:b w:val="false"/>
                <w:bCs w:val="false"/>
                <w:sz w:val="20"/>
                <w:szCs w:val="20"/>
              </w:rPr>
              <w:t xml:space="preserve">Hosts the monitored VM</w:t>
            </w:r>
          </w:p>
        </w:tc>
      </w:tr>
      <w:tr>
        <w:tc>
          <w:tcPr>
            <w:tcW w:type="dxa" w:w="2400"/>
            <w:shd w:fill="EAF1F8" w:val="clear"/>
            <w:vAlign w:val="center"/>
          </w:tcPr>
          <w:p>
            <w:r>
              <w:rPr>
                <w:b w:val="false"/>
                <w:bCs w:val="false"/>
                <w:sz w:val="20"/>
                <w:szCs w:val="20"/>
              </w:rPr>
              <w:t xml:space="preserve">Network Security Group</w:t>
            </w:r>
          </w:p>
        </w:tc>
        <w:tc>
          <w:tcPr>
            <w:tcW w:type="dxa" w:w="3400"/>
            <w:shd w:fill="EAF1F8" w:val="clear"/>
            <w:vAlign w:val="center"/>
          </w:tcPr>
          <w:p>
            <w:r>
              <w:rPr>
                <w:b w:val="false"/>
                <w:bCs w:val="false"/>
                <w:sz w:val="20"/>
                <w:szCs w:val="20"/>
              </w:rPr>
              <w:t xml:space="preserve">cyberlab-nsg</w:t>
            </w:r>
          </w:p>
        </w:tc>
        <w:tc>
          <w:tcPr>
            <w:tcW w:type="dxa" w:w="3550"/>
            <w:shd w:fill="EAF1F8" w:val="clear"/>
            <w:vAlign w:val="center"/>
          </w:tcPr>
          <w:p>
            <w:r>
              <w:rPr>
                <w:b w:val="false"/>
                <w:bCs w:val="false"/>
                <w:sz w:val="20"/>
                <w:szCs w:val="20"/>
              </w:rPr>
              <w:t xml:space="preserve">Restricts inbound access to the VM</w:t>
            </w:r>
          </w:p>
        </w:tc>
      </w:tr>
      <w:tr>
        <w:tc>
          <w:tcPr>
            <w:tcW w:type="dxa" w:w="2400"/>
            <w:shd w:fill="FFFFFF" w:val="clear"/>
            <w:vAlign w:val="center"/>
          </w:tcPr>
          <w:p>
            <w:r>
              <w:rPr>
                <w:b w:val="false"/>
                <w:bCs w:val="false"/>
                <w:sz w:val="20"/>
                <w:szCs w:val="20"/>
              </w:rPr>
              <w:t xml:space="preserve">Virtual Machine</w:t>
            </w:r>
          </w:p>
        </w:tc>
        <w:tc>
          <w:tcPr>
            <w:tcW w:type="dxa" w:w="3400"/>
            <w:shd w:fill="FFFFFF" w:val="clear"/>
            <w:vAlign w:val="center"/>
          </w:tcPr>
          <w:p>
            <w:r>
              <w:rPr>
                <w:b w:val="false"/>
                <w:bCs w:val="false"/>
                <w:sz w:val="20"/>
                <w:szCs w:val="20"/>
              </w:rPr>
              <w:t xml:space="preserve">cybersec-win11 (Windows 11 24H2 Pro)</w:t>
            </w:r>
          </w:p>
        </w:tc>
        <w:tc>
          <w:tcPr>
            <w:tcW w:type="dxa" w:w="3550"/>
            <w:shd w:fill="FFFFFF" w:val="clear"/>
            <w:vAlign w:val="center"/>
          </w:tcPr>
          <w:p>
            <w:r>
              <w:rPr>
                <w:b w:val="false"/>
                <w:bCs w:val="false"/>
                <w:sz w:val="20"/>
                <w:szCs w:val="20"/>
              </w:rPr>
              <w:t xml:space="preserve">Monitored endpoint / log source</w:t>
            </w:r>
          </w:p>
        </w:tc>
      </w:tr>
      <w:tr>
        <w:tc>
          <w:tcPr>
            <w:tcW w:type="dxa" w:w="2400"/>
            <w:shd w:fill="EAF1F8" w:val="clear"/>
            <w:vAlign w:val="center"/>
          </w:tcPr>
          <w:p>
            <w:r>
              <w:rPr>
                <w:b w:val="false"/>
                <w:bCs w:val="false"/>
                <w:sz w:val="20"/>
                <w:szCs w:val="20"/>
              </w:rPr>
              <w:t xml:space="preserve">Log Analytics Workspace</w:t>
            </w:r>
          </w:p>
        </w:tc>
        <w:tc>
          <w:tcPr>
            <w:tcW w:type="dxa" w:w="3400"/>
            <w:shd w:fill="EAF1F8" w:val="clear"/>
            <w:vAlign w:val="center"/>
          </w:tcPr>
          <w:p>
            <w:r>
              <w:rPr>
                <w:b w:val="false"/>
                <w:bCs w:val="false"/>
                <w:sz w:val="20"/>
                <w:szCs w:val="20"/>
              </w:rPr>
              <w:t xml:space="preserve">cyberlab-law</w:t>
            </w:r>
          </w:p>
        </w:tc>
        <w:tc>
          <w:tcPr>
            <w:tcW w:type="dxa" w:w="3550"/>
            <w:shd w:fill="EAF1F8" w:val="clear"/>
            <w:vAlign w:val="center"/>
          </w:tcPr>
          <w:p>
            <w:r>
              <w:rPr>
                <w:b w:val="false"/>
                <w:bCs w:val="false"/>
                <w:sz w:val="20"/>
                <w:szCs w:val="20"/>
              </w:rPr>
              <w:t xml:space="preserve">Central log store (30-day retention, PerGB2018 tier)</w:t>
            </w:r>
          </w:p>
        </w:tc>
      </w:tr>
      <w:tr>
        <w:tc>
          <w:tcPr>
            <w:tcW w:type="dxa" w:w="2400"/>
            <w:shd w:fill="FFFFFF" w:val="clear"/>
            <w:vAlign w:val="center"/>
          </w:tcPr>
          <w:p>
            <w:r>
              <w:rPr>
                <w:b w:val="false"/>
                <w:bCs w:val="false"/>
                <w:sz w:val="20"/>
                <w:szCs w:val="20"/>
              </w:rPr>
              <w:t xml:space="preserve">Microsoft Sentinel</w:t>
            </w:r>
          </w:p>
        </w:tc>
        <w:tc>
          <w:tcPr>
            <w:tcW w:type="dxa" w:w="3400"/>
            <w:shd w:fill="FFFFFF" w:val="clear"/>
            <w:vAlign w:val="center"/>
          </w:tcPr>
          <w:p>
            <w:r>
              <w:rPr>
                <w:b w:val="false"/>
                <w:bCs w:val="false"/>
                <w:sz w:val="20"/>
                <w:szCs w:val="20"/>
              </w:rPr>
              <w:t xml:space="preserve">Onboarded on cyberlab-law</w:t>
            </w:r>
          </w:p>
        </w:tc>
        <w:tc>
          <w:tcPr>
            <w:tcW w:type="dxa" w:w="3550"/>
            <w:shd w:fill="FFFFFF" w:val="clear"/>
            <w:vAlign w:val="center"/>
          </w:tcPr>
          <w:p>
            <w:r>
              <w:rPr>
                <w:b w:val="false"/>
                <w:bCs w:val="false"/>
                <w:sz w:val="20"/>
                <w:szCs w:val="20"/>
              </w:rPr>
              <w:t xml:space="preserve">SIEM layer for querying and future alerting</w:t>
            </w:r>
          </w:p>
        </w:tc>
      </w:tr>
      <w:tr>
        <w:tc>
          <w:tcPr>
            <w:tcW w:type="dxa" w:w="2400"/>
            <w:shd w:fill="EAF1F8" w:val="clear"/>
            <w:vAlign w:val="center"/>
          </w:tcPr>
          <w:p>
            <w:r>
              <w:rPr>
                <w:b w:val="false"/>
                <w:bCs w:val="false"/>
                <w:sz w:val="20"/>
                <w:szCs w:val="20"/>
              </w:rPr>
              <w:t xml:space="preserve">Data Collection Rule</w:t>
            </w:r>
          </w:p>
        </w:tc>
        <w:tc>
          <w:tcPr>
            <w:tcW w:type="dxa" w:w="3400"/>
            <w:shd w:fill="EAF1F8" w:val="clear"/>
            <w:vAlign w:val="center"/>
          </w:tcPr>
          <w:p>
            <w:r>
              <w:rPr>
                <w:b w:val="false"/>
                <w:bCs w:val="false"/>
                <w:sz w:val="20"/>
                <w:szCs w:val="20"/>
              </w:rPr>
              <w:t xml:space="preserve">cybersec-win11-dcr</w:t>
            </w:r>
          </w:p>
        </w:tc>
        <w:tc>
          <w:tcPr>
            <w:tcW w:type="dxa" w:w="3550"/>
            <w:shd w:fill="EAF1F8" w:val="clear"/>
            <w:vAlign w:val="center"/>
          </w:tcPr>
          <w:p>
            <w:r>
              <w:rPr>
                <w:b w:val="false"/>
                <w:bCs w:val="false"/>
                <w:sz w:val="20"/>
                <w:szCs w:val="20"/>
              </w:rPr>
              <w:t xml:space="preserve">Defines which Windows/Sysmon events are forwarded</w:t>
            </w:r>
          </w:p>
        </w:tc>
      </w:tr>
    </w:tbl>
    <w:p>
      <w:pPr>
        <w:spacing w:after="160"/>
      </w:pPr>
      <w:r>
        <w:t xml:space="preserve"/>
      </w:r>
    </w:p>
    <w:p>
      <w:pPr>
        <w:spacing w:after="160"/>
      </w:pPr>
      <w:r>
        <w:t xml:space="preserve">Data flow: Windows Security events and Sysmon Operational events on the VM → Azure Monitor Agent → Data Collection Rule → Log Analytics Workspace → queried via KQL (and available to Sentinel for future analytics rules).</w:t>
      </w:r>
    </w:p>
    <w:p>
      <w:pPr>
        <w:pStyle w:val="Heading1"/>
        <w:spacing w:after="200" w:before="400"/>
      </w:pPr>
      <w:r>
        <w:t xml:space="preserve">3. Build Process</w:t>
      </w:r>
    </w:p>
    <w:p>
      <w:pPr>
        <w:pStyle w:val="Heading2"/>
        <w:spacing w:after="150" w:before="300"/>
      </w:pPr>
      <w:r>
        <w:t xml:space="preserve">3.1 Governance and region selection</w:t>
      </w:r>
    </w:p>
    <w:p>
      <w:pPr>
        <w:spacing w:after="160"/>
      </w:pPr>
      <w:r>
        <w:t xml:space="preserve">Before deploying, existing Azure Policy assignments and resource locks were reviewed at the subscription and resource group scope to understand constraints already in place:</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az policy assignment list --scope "/subscriptions/&lt;SUBSCRIPTION_ID&gt;" \</w:t>
      </w:r>
      <w:r>
        <w:rPr>
          <w:rFonts w:ascii="Consolas" w:cs="Consolas" w:eastAsia="Consolas" w:hAnsi="Consolas"/>
          <w:sz w:val="18"/>
          <w:szCs w:val="18"/>
        </w:rPr>
        <w:br/>
        <w:t xml:space="preserve">  --query "[].{Name:displayName,Policy:policyDefinitionId}" -o table</w:t>
      </w:r>
      <w:r>
        <w:rPr>
          <w:rFonts w:ascii="Consolas" w:cs="Consolas" w:eastAsia="Consolas" w:hAnsi="Consolas"/>
          <w:sz w:val="18"/>
          <w:szCs w:val="18"/>
        </w:rPr>
        <w:br/>
        <w:t xml:space="preserve"> </w:t>
      </w:r>
      <w:r>
        <w:rPr>
          <w:rFonts w:ascii="Consolas" w:cs="Consolas" w:eastAsia="Consolas" w:hAnsi="Consolas"/>
          <w:sz w:val="18"/>
          <w:szCs w:val="18"/>
        </w:rPr>
        <w:br/>
        <w:t xml:space="preserve">az lock list --resource-group cybersec-homelab-rg -o table</w:t>
      </w:r>
    </w:p>
    <w:p>
      <w:pPr>
        <w:spacing w:after="160"/>
      </w:pPr>
      <w:r>
        <w:t xml:space="preserve">An “allowed resource deployment regions” policy blocked the first two region choices (Malaysia West, then West Europe). Available SKUs and policy-compliant regions were checked with az vm list-skus and az policy definition show before settling on East Asia.</w:t>
      </w:r>
    </w:p>
    <w:p>
      <w:pPr>
        <w:pStyle w:val="Heading2"/>
        <w:spacing w:after="150" w:before="300"/>
      </w:pPr>
      <w:r>
        <w:t xml:space="preserve">3.2 Network isolation</w:t>
      </w:r>
    </w:p>
    <w:p>
      <w:pPr>
        <w:spacing w:after="160"/>
      </w:pPr>
      <w:r>
        <w:t xml:space="preserve">A dedicated VNet and NSG were created, and RDP (3389) was restricted to a single source IP — the administrator's own public IP — rather than left open to the internet:</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az network vnet create --resource-group cybersec-homelab-rg --name cyberlab-vnet \</w:t>
      </w:r>
      <w:r>
        <w:rPr>
          <w:rFonts w:ascii="Consolas" w:cs="Consolas" w:eastAsia="Consolas" w:hAnsi="Consolas"/>
          <w:sz w:val="18"/>
          <w:szCs w:val="18"/>
        </w:rPr>
        <w:br/>
        <w:t xml:space="preserve">  --location eastasia --address-prefix 10.10.0.0/16 \</w:t>
      </w:r>
      <w:r>
        <w:rPr>
          <w:rFonts w:ascii="Consolas" w:cs="Consolas" w:eastAsia="Consolas" w:hAnsi="Consolas"/>
          <w:sz w:val="18"/>
          <w:szCs w:val="18"/>
        </w:rPr>
        <w:br/>
        <w:t xml:space="preserve">  --subnet-name cyberlab-subnet --subnet-prefix 10.10.1.0/24</w:t>
      </w:r>
      <w:r>
        <w:rPr>
          <w:rFonts w:ascii="Consolas" w:cs="Consolas" w:eastAsia="Consolas" w:hAnsi="Consolas"/>
          <w:sz w:val="18"/>
          <w:szCs w:val="18"/>
        </w:rPr>
        <w:br/>
        <w:t xml:space="preserve"> </w:t>
      </w:r>
      <w:r>
        <w:rPr>
          <w:rFonts w:ascii="Consolas" w:cs="Consolas" w:eastAsia="Consolas" w:hAnsi="Consolas"/>
          <w:sz w:val="18"/>
          <w:szCs w:val="18"/>
        </w:rPr>
        <w:br/>
        <w:t xml:space="preserve">az network nsg create --resource-group cybersec-homelab-rg --name cyberlab-nsg --location eastasia</w:t>
      </w:r>
      <w:r>
        <w:rPr>
          <w:rFonts w:ascii="Consolas" w:cs="Consolas" w:eastAsia="Consolas" w:hAnsi="Consolas"/>
          <w:sz w:val="18"/>
          <w:szCs w:val="18"/>
        </w:rPr>
        <w:br/>
        <w:t xml:space="preserve"> </w:t>
      </w:r>
      <w:r>
        <w:rPr>
          <w:rFonts w:ascii="Consolas" w:cs="Consolas" w:eastAsia="Consolas" w:hAnsi="Consolas"/>
          <w:sz w:val="18"/>
          <w:szCs w:val="18"/>
        </w:rPr>
        <w:br/>
        <w:t xml:space="preserve">az network nsg rule create --resource-group cybersec-homelab-rg --nsg-name cyberlab-nsg \</w:t>
      </w:r>
      <w:r>
        <w:rPr>
          <w:rFonts w:ascii="Consolas" w:cs="Consolas" w:eastAsia="Consolas" w:hAnsi="Consolas"/>
          <w:sz w:val="18"/>
          <w:szCs w:val="18"/>
        </w:rPr>
        <w:br/>
        <w:t xml:space="preserve">  --name Allow-RDP-MyIP --priority 100 \</w:t>
      </w:r>
      <w:r>
        <w:rPr>
          <w:rFonts w:ascii="Consolas" w:cs="Consolas" w:eastAsia="Consolas" w:hAnsi="Consolas"/>
          <w:sz w:val="18"/>
          <w:szCs w:val="18"/>
        </w:rPr>
        <w:br/>
        <w:t xml:space="preserve">  --source-address-prefixes &lt;YOUR_PUBLIC_IP&gt;/32 \</w:t>
      </w:r>
      <w:r>
        <w:rPr>
          <w:rFonts w:ascii="Consolas" w:cs="Consolas" w:eastAsia="Consolas" w:hAnsi="Consolas"/>
          <w:sz w:val="18"/>
          <w:szCs w:val="18"/>
        </w:rPr>
        <w:br/>
        <w:t xml:space="preserve">  --destination-port-ranges 3389 --protocol Tcp --access Allow --direction Inbound</w:t>
      </w:r>
      <w:r>
        <w:rPr>
          <w:rFonts w:ascii="Consolas" w:cs="Consolas" w:eastAsia="Consolas" w:hAnsi="Consolas"/>
          <w:sz w:val="18"/>
          <w:szCs w:val="18"/>
        </w:rPr>
        <w:br/>
        <w:t xml:space="preserve"> </w:t>
      </w:r>
      <w:r>
        <w:rPr>
          <w:rFonts w:ascii="Consolas" w:cs="Consolas" w:eastAsia="Consolas" w:hAnsi="Consolas"/>
          <w:sz w:val="18"/>
          <w:szCs w:val="18"/>
        </w:rPr>
        <w:br/>
        <w:t xml:space="preserve">az network vnet subnet update --resource-group cybersec-homelab-rg \</w:t>
      </w:r>
      <w:r>
        <w:rPr>
          <w:rFonts w:ascii="Consolas" w:cs="Consolas" w:eastAsia="Consolas" w:hAnsi="Consolas"/>
          <w:sz w:val="18"/>
          <w:szCs w:val="18"/>
        </w:rPr>
        <w:br/>
        <w:t xml:space="preserve">  --vnet-name cyberlab-vnet --name cyberlab-subnet --network-security-group cyberlab-nsg</w:t>
      </w:r>
    </w:p>
    <w:p>
      <w:pPr>
        <w:spacing w:after="160"/>
      </w:pPr>
      <w:r>
        <w:t xml:space="preserve">The lab's public IP was retrieved dynamically (api.ipify.org) rather than hard-coded from memory, so the NSG rule always matched the current administrator location.</w:t>
      </w:r>
    </w:p>
    <w:p>
      <w:pPr>
        <w:pStyle w:val="Heading2"/>
        <w:spacing w:after="150" w:before="300"/>
      </w:pPr>
      <w:r>
        <w:t xml:space="preserve">3.3 Endpoint deployment</w:t>
      </w:r>
    </w:p>
    <w:p>
      <w:pPr>
        <w:spacing w:after="160"/>
      </w:pPr>
      <w:r>
        <w:t xml:space="preserve">A Windows 11 24H2 Pro VM was deployed into the isolated subnet, with cost controls applied from the outset:</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az vm create --resource-group cybersec-homelab-rg --name cybersec-win11 \</w:t>
      </w:r>
      <w:r>
        <w:rPr>
          <w:rFonts w:ascii="Consolas" w:cs="Consolas" w:eastAsia="Consolas" w:hAnsi="Consolas"/>
          <w:sz w:val="18"/>
          <w:szCs w:val="18"/>
        </w:rPr>
        <w:br/>
        <w:t xml:space="preserve">  --location eastasia \</w:t>
      </w:r>
      <w:r>
        <w:rPr>
          <w:rFonts w:ascii="Consolas" w:cs="Consolas" w:eastAsia="Consolas" w:hAnsi="Consolas"/>
          <w:sz w:val="18"/>
          <w:szCs w:val="18"/>
        </w:rPr>
        <w:br/>
        <w:t xml:space="preserve">  --image MicrosoftWindowsDesktop:windows-11:win11-24h2-pro:26100.9168.260809 \</w:t>
      </w:r>
      <w:r>
        <w:rPr>
          <w:rFonts w:ascii="Consolas" w:cs="Consolas" w:eastAsia="Consolas" w:hAnsi="Consolas"/>
          <w:sz w:val="18"/>
          <w:szCs w:val="18"/>
        </w:rPr>
        <w:br/>
        <w:t xml:space="preserve">  --size Standard_B2as_v2 --admin-username azureadmin --admin-password "&lt;REDACTED&gt;" \</w:t>
      </w:r>
      <w:r>
        <w:rPr>
          <w:rFonts w:ascii="Consolas" w:cs="Consolas" w:eastAsia="Consolas" w:hAnsi="Consolas"/>
          <w:sz w:val="18"/>
          <w:szCs w:val="18"/>
        </w:rPr>
        <w:br/>
        <w:t xml:space="preserve">  --vnet-name cyberlab-vnet --subnet cyberlab-subnet \</w:t>
      </w:r>
      <w:r>
        <w:rPr>
          <w:rFonts w:ascii="Consolas" w:cs="Consolas" w:eastAsia="Consolas" w:hAnsi="Consolas"/>
          <w:sz w:val="18"/>
          <w:szCs w:val="18"/>
        </w:rPr>
        <w:br/>
        <w:t xml:space="preserve">  --storage-sku StandardSSD_LRS --os-disk-size-gb 127 --public-ip-sku Standard \</w:t>
      </w:r>
      <w:r>
        <w:rPr>
          <w:rFonts w:ascii="Consolas" w:cs="Consolas" w:eastAsia="Consolas" w:hAnsi="Consolas"/>
          <w:sz w:val="18"/>
          <w:szCs w:val="18"/>
        </w:rPr>
        <w:br/>
        <w:t xml:space="preserve">  --nic-delete-option delete --os-disk-delete-option delete</w:t>
      </w:r>
      <w:r>
        <w:rPr>
          <w:rFonts w:ascii="Consolas" w:cs="Consolas" w:eastAsia="Consolas" w:hAnsi="Consolas"/>
          <w:sz w:val="18"/>
          <w:szCs w:val="18"/>
        </w:rPr>
        <w:br/>
        <w:t xml:space="preserve"> </w:t>
      </w:r>
      <w:r>
        <w:rPr>
          <w:rFonts w:ascii="Consolas" w:cs="Consolas" w:eastAsia="Consolas" w:hAnsi="Consolas"/>
          <w:sz w:val="18"/>
          <w:szCs w:val="18"/>
        </w:rPr>
        <w:br/>
        <w:t xml:space="preserve">az vm auto-shutdown --resource-group cybersec-homelab-rg --name cybersec-win11 \</w:t>
      </w:r>
      <w:r>
        <w:rPr>
          <w:rFonts w:ascii="Consolas" w:cs="Consolas" w:eastAsia="Consolas" w:hAnsi="Consolas"/>
          <w:sz w:val="18"/>
          <w:szCs w:val="18"/>
        </w:rPr>
        <w:br/>
        <w:t xml:space="preserve">  --time 2200 --timezone "Singapore Standard Time"</w:t>
      </w:r>
    </w:p>
    <w:p>
      <w:pPr>
        <w:spacing w:after="160"/>
      </w:pPr>
      <w:r>
        <w:t xml:space="preserve">Notes: --nic-delete-option and --os-disk-delete-option ensure associated resources are cleaned up automatically when the VM is deleted, avoiding orphaned billable resources. auto-shutdown caps compute cost during idle hours — a practical habit for a self-funded lab.</w:t>
      </w:r>
    </w:p>
    <w:p>
      <w:pPr>
        <w:pStyle w:val="Heading2"/>
        <w:spacing w:after="150" w:before="300"/>
      </w:pPr>
      <w:r>
        <w:t xml:space="preserve">3.4 Log Analytics workspace and Sentinel onboarding</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az monitor log-analytics workspace create --resource-group cybersec-homelab-rg \</w:t>
      </w:r>
      <w:r>
        <w:rPr>
          <w:rFonts w:ascii="Consolas" w:cs="Consolas" w:eastAsia="Consolas" w:hAnsi="Consolas"/>
          <w:sz w:val="18"/>
          <w:szCs w:val="18"/>
        </w:rPr>
        <w:br/>
        <w:t xml:space="preserve">  --workspace-name cyberlab-law --location eastasia</w:t>
      </w:r>
      <w:r>
        <w:rPr>
          <w:rFonts w:ascii="Consolas" w:cs="Consolas" w:eastAsia="Consolas" w:hAnsi="Consolas"/>
          <w:sz w:val="18"/>
          <w:szCs w:val="18"/>
        </w:rPr>
        <w:br/>
        <w:t xml:space="preserve"> </w:t>
      </w:r>
      <w:r>
        <w:rPr>
          <w:rFonts w:ascii="Consolas" w:cs="Consolas" w:eastAsia="Consolas" w:hAnsi="Consolas"/>
          <w:sz w:val="18"/>
          <w:szCs w:val="18"/>
        </w:rPr>
        <w:br/>
        <w:t xml:space="preserve"># Confirm the Sentinel resource provider is registered</w:t>
      </w:r>
      <w:r>
        <w:rPr>
          <w:rFonts w:ascii="Consolas" w:cs="Consolas" w:eastAsia="Consolas" w:hAnsi="Consolas"/>
          <w:sz w:val="18"/>
          <w:szCs w:val="18"/>
        </w:rPr>
        <w:br/>
        <w:t xml:space="preserve">az provider register --namespace Microsoft.SecurityInsights</w:t>
      </w:r>
      <w:r>
        <w:rPr>
          <w:rFonts w:ascii="Consolas" w:cs="Consolas" w:eastAsia="Consolas" w:hAnsi="Consolas"/>
          <w:sz w:val="18"/>
          <w:szCs w:val="18"/>
        </w:rPr>
        <w:br/>
        <w:t xml:space="preserve">az provider show --namespace Microsoft.SecurityInsights \</w:t>
      </w:r>
      <w:r>
        <w:rPr>
          <w:rFonts w:ascii="Consolas" w:cs="Consolas" w:eastAsia="Consolas" w:hAnsi="Consolas"/>
          <w:sz w:val="18"/>
          <w:szCs w:val="18"/>
        </w:rPr>
        <w:br/>
        <w:t xml:space="preserve">  --query "{namespace:namespace,registrationState:registrationState}" -o table</w:t>
      </w:r>
      <w:r>
        <w:rPr>
          <w:rFonts w:ascii="Consolas" w:cs="Consolas" w:eastAsia="Consolas" w:hAnsi="Consolas"/>
          <w:sz w:val="18"/>
          <w:szCs w:val="18"/>
        </w:rPr>
        <w:br/>
        <w:t xml:space="preserve"> </w:t>
      </w:r>
      <w:r>
        <w:rPr>
          <w:rFonts w:ascii="Consolas" w:cs="Consolas" w:eastAsia="Consolas" w:hAnsi="Consolas"/>
          <w:sz w:val="18"/>
          <w:szCs w:val="18"/>
        </w:rPr>
        <w:br/>
        <w:t xml:space="preserve"># Onboard Sentinel onto the workspace via the ARM REST API</w:t>
      </w:r>
      <w:r>
        <w:rPr>
          <w:rFonts w:ascii="Consolas" w:cs="Consolas" w:eastAsia="Consolas" w:hAnsi="Consolas"/>
          <w:sz w:val="18"/>
          <w:szCs w:val="18"/>
        </w:rPr>
        <w:br/>
        <w:t xml:space="preserve">$WSID = az monitor log-analytics workspace show --resource-group cybersec-homelab-rg \</w:t>
      </w:r>
      <w:r>
        <w:rPr>
          <w:rFonts w:ascii="Consolas" w:cs="Consolas" w:eastAsia="Consolas" w:hAnsi="Consolas"/>
          <w:sz w:val="18"/>
          <w:szCs w:val="18"/>
        </w:rPr>
        <w:br/>
        <w:t xml:space="preserve">  --workspace-name cyberlab-law --query id -o tsv</w:t>
      </w:r>
      <w:r>
        <w:rPr>
          <w:rFonts w:ascii="Consolas" w:cs="Consolas" w:eastAsia="Consolas" w:hAnsi="Consolas"/>
          <w:sz w:val="18"/>
          <w:szCs w:val="18"/>
        </w:rPr>
        <w:br/>
        <w:t xml:space="preserve">$URI = "$WSID/providers/Microsoft.SecurityInsights/onboardingStates/default?api-version=2025-10-01-preview"</w:t>
      </w:r>
      <w:r>
        <w:rPr>
          <w:rFonts w:ascii="Consolas" w:cs="Consolas" w:eastAsia="Consolas" w:hAnsi="Consolas"/>
          <w:sz w:val="18"/>
          <w:szCs w:val="18"/>
        </w:rPr>
        <w:br/>
        <w:t xml:space="preserve">az rest --method put --url $URI --headers "Content-Type=application/json" --body '{"properties":{"customerManagedKey":false}}'</w:t>
      </w:r>
    </w:p>
    <w:p>
      <w:pPr>
        <w:spacing w:after="160"/>
      </w:pPr>
      <w:r>
        <w:t xml:space="preserve">The onboarding call needed several iterations — earlier API versions returned errors until the resource provider was confirmed registered and a current API version was used. This is a common real-world snag: Sentinel's REST surface changes across API versions, and provider registration is a prerequisite that's easy to miss the first time.</w:t>
      </w:r>
    </w:p>
    <w:p>
      <w:pPr>
        <w:pStyle w:val="Heading2"/>
        <w:spacing w:after="150" w:before="300"/>
      </w:pPr>
      <w:r>
        <w:t xml:space="preserve">3.5 Telemetry collection: Azure Monitor Agent + Data Collection Rule</w:t>
      </w:r>
    </w:p>
    <w:p>
      <w:pPr>
        <w:spacing w:after="160"/>
      </w:pPr>
      <w:r>
        <w:t xml:space="preserve">The Azure Monitor Agent (AMA) extension was installed on the VM, and a Data Collection Rule was authored to forward two categories of Windows telemetry into the workspace: core Security log events, and Sysmon Operational log events.</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az vm extension set --resource-group cybersec-homelab-rg --vm-name cybersec-win11 \</w:t>
      </w:r>
      <w:r>
        <w:rPr>
          <w:rFonts w:ascii="Consolas" w:cs="Consolas" w:eastAsia="Consolas" w:hAnsi="Consolas"/>
          <w:sz w:val="18"/>
          <w:szCs w:val="18"/>
        </w:rPr>
        <w:br/>
        <w:t xml:space="preserve">  --name AzureMonitorWindowsAgent --publisher Microsoft.Azure.Monitor --version 1.0</w:t>
      </w:r>
      <w:r>
        <w:rPr>
          <w:rFonts w:ascii="Consolas" w:cs="Consolas" w:eastAsia="Consolas" w:hAnsi="Consolas"/>
          <w:sz w:val="18"/>
          <w:szCs w:val="18"/>
        </w:rPr>
        <w:br/>
        <w:t xml:space="preserve"> </w:t>
      </w:r>
      <w:r>
        <w:rPr>
          <w:rFonts w:ascii="Consolas" w:cs="Consolas" w:eastAsia="Consolas" w:hAnsi="Consolas"/>
          <w:sz w:val="18"/>
          <w:szCs w:val="18"/>
        </w:rPr>
        <w:br/>
        <w:t xml:space="preserve">az vm identity assign --resource-group cybersec-homelab-rg --name cybersec-win11</w:t>
      </w:r>
      <w:r>
        <w:rPr>
          <w:rFonts w:ascii="Consolas" w:cs="Consolas" w:eastAsia="Consolas" w:hAnsi="Consolas"/>
          <w:sz w:val="18"/>
          <w:szCs w:val="18"/>
        </w:rPr>
        <w:br/>
        <w:t xml:space="preserve"> </w:t>
      </w:r>
      <w:r>
        <w:rPr>
          <w:rFonts w:ascii="Consolas" w:cs="Consolas" w:eastAsia="Consolas" w:hAnsi="Consolas"/>
          <w:sz w:val="18"/>
          <w:szCs w:val="18"/>
        </w:rPr>
        <w:br/>
        <w:t xml:space="preserve">az monitor data-collection rule create --resource-group cybersec-homelab-rg \</w:t>
      </w:r>
      <w:r>
        <w:rPr>
          <w:rFonts w:ascii="Consolas" w:cs="Consolas" w:eastAsia="Consolas" w:hAnsi="Consolas"/>
          <w:sz w:val="18"/>
          <w:szCs w:val="18"/>
        </w:rPr>
        <w:br/>
        <w:t xml:space="preserve">  --location eastasia --name cybersec-win11-dcr --rule-file cybersec-dcr.json</w:t>
      </w:r>
    </w:p>
    <w:p>
      <w:pPr>
        <w:spacing w:after="160"/>
      </w:pPr>
      <w:r>
        <w:t xml:space="preserve">cybersec-dcr.json (abridged) — filters events at the source using XPath queries, rather than shipping entire logs:</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  "location": "eastasia",</w:t>
      </w:r>
      <w:r>
        <w:rPr>
          <w:rFonts w:ascii="Consolas" w:cs="Consolas" w:eastAsia="Consolas" w:hAnsi="Consolas"/>
          <w:sz w:val="18"/>
          <w:szCs w:val="18"/>
        </w:rPr>
        <w:br/>
        <w:t xml:space="preserve">  "properties": {</w:t>
      </w:r>
      <w:r>
        <w:rPr>
          <w:rFonts w:ascii="Consolas" w:cs="Consolas" w:eastAsia="Consolas" w:hAnsi="Consolas"/>
          <w:sz w:val="18"/>
          <w:szCs w:val="18"/>
        </w:rPr>
        <w:br/>
        <w:t xml:space="preserve">    "dataSources": {</w:t>
      </w:r>
      <w:r>
        <w:rPr>
          <w:rFonts w:ascii="Consolas" w:cs="Consolas" w:eastAsia="Consolas" w:hAnsi="Consolas"/>
          <w:sz w:val="18"/>
          <w:szCs w:val="18"/>
        </w:rPr>
        <w:br/>
        <w:t xml:space="preserve">      "windowsEventLogs": [</w:t>
      </w:r>
      <w:r>
        <w:rPr>
          <w:rFonts w:ascii="Consolas" w:cs="Consolas" w:eastAsia="Consolas" w:hAnsi="Consolas"/>
          <w:sz w:val="18"/>
          <w:szCs w:val="18"/>
        </w:rPr>
        <w:br/>
        <w:t xml:space="preserve">        {</w:t>
      </w:r>
      <w:r>
        <w:rPr>
          <w:rFonts w:ascii="Consolas" w:cs="Consolas" w:eastAsia="Consolas" w:hAnsi="Consolas"/>
          <w:sz w:val="18"/>
          <w:szCs w:val="18"/>
        </w:rPr>
        <w:br/>
        <w:t xml:space="preserve">          "name": "windows-security",</w:t>
      </w:r>
      <w:r>
        <w:rPr>
          <w:rFonts w:ascii="Consolas" w:cs="Consolas" w:eastAsia="Consolas" w:hAnsi="Consolas"/>
          <w:sz w:val="18"/>
          <w:szCs w:val="18"/>
        </w:rPr>
        <w:br/>
        <w:t xml:space="preserve">          "streams": ["Microsoft-SecurityEvent"],</w:t>
      </w:r>
      <w:r>
        <w:rPr>
          <w:rFonts w:ascii="Consolas" w:cs="Consolas" w:eastAsia="Consolas" w:hAnsi="Consolas"/>
          <w:sz w:val="18"/>
          <w:szCs w:val="18"/>
        </w:rPr>
        <w:br/>
        <w:t xml:space="preserve">          "xPathQueries": [</w:t>
      </w:r>
      <w:r>
        <w:rPr>
          <w:rFonts w:ascii="Consolas" w:cs="Consolas" w:eastAsia="Consolas" w:hAnsi="Consolas"/>
          <w:sz w:val="18"/>
          <w:szCs w:val="18"/>
        </w:rPr>
        <w:br/>
        <w:t xml:space="preserve">            "Security!*[System[(EventID=4624 or EventID=4625 or EventID=4688)]]"</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"name": "sysmon-operational",</w:t>
      </w:r>
      <w:r>
        <w:rPr>
          <w:rFonts w:ascii="Consolas" w:cs="Consolas" w:eastAsia="Consolas" w:hAnsi="Consolas"/>
          <w:sz w:val="18"/>
          <w:szCs w:val="18"/>
        </w:rPr>
        <w:br/>
        <w:t xml:space="preserve">          "streams": ["Microsoft-WindowsEvent"],</w:t>
      </w:r>
      <w:r>
        <w:rPr>
          <w:rFonts w:ascii="Consolas" w:cs="Consolas" w:eastAsia="Consolas" w:hAnsi="Consolas"/>
          <w:sz w:val="18"/>
          <w:szCs w:val="18"/>
        </w:rPr>
        <w:br/>
        <w:t xml:space="preserve">          "xPathQueries": [</w:t>
      </w:r>
      <w:r>
        <w:rPr>
          <w:rFonts w:ascii="Consolas" w:cs="Consolas" w:eastAsia="Consolas" w:hAnsi="Consolas"/>
          <w:sz w:val="18"/>
          <w:szCs w:val="18"/>
        </w:rPr>
        <w:br/>
        <w:t xml:space="preserve">            "Microsoft-Windows-Sysmon/Operational!*[System[(EventID=1 or EventID=3</w:t>
      </w:r>
      <w:r>
        <w:rPr>
          <w:rFonts w:ascii="Consolas" w:cs="Consolas" w:eastAsia="Consolas" w:hAnsi="Consolas"/>
          <w:sz w:val="18"/>
          <w:szCs w:val="18"/>
        </w:rPr>
        <w:br/>
        <w:t xml:space="preserve">              or EventID=10 or EventID=11 or EventID=13 or EventID=22)]]"</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"destinations": { "logAnalytics": [ { "workspaceResourceId": "&lt;WORKSPACE_ID&gt;" } ]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50"/>
      </w:tblGrid>
      <w:tr>
        <w:trPr>
          <w:tblHeader/>
        </w:trPr>
        <w:tc>
          <w:tcPr>
            <w:tcW w:type="dxa" w:w="2600"/>
            <w:shd w:fill="1F4E79" w:val="clear"/>
            <w:vAlign w:val="center"/>
          </w:tcPr>
          <w:p>
            <w:r>
              <w:rPr>
                <w:b/>
                <w:bCs/>
                <w:color w:val="FFFFFF"/>
                <w:sz w:val="20"/>
                <w:szCs w:val="20"/>
              </w:rPr>
              <w:t xml:space="preserve">Source</w:t>
            </w:r>
          </w:p>
        </w:tc>
        <w:tc>
          <w:tcPr>
            <w:tcW w:type="dxa" w:w="2600"/>
            <w:shd w:fill="1F4E79" w:val="clear"/>
            <w:vAlign w:val="center"/>
          </w:tcPr>
          <w:p>
            <w:r>
              <w:rPr>
                <w:b/>
                <w:bCs/>
                <w:color w:val="FFFFFF"/>
                <w:sz w:val="20"/>
                <w:szCs w:val="20"/>
              </w:rPr>
              <w:t xml:space="preserve">Event IDs collected</w:t>
            </w:r>
          </w:p>
        </w:tc>
        <w:tc>
          <w:tcPr>
            <w:tcW w:type="dxa" w:w="4150"/>
            <w:shd w:fill="1F4E79" w:val="clear"/>
            <w:vAlign w:val="center"/>
          </w:tcPr>
          <w:p>
            <w:r>
              <w:rPr>
                <w:b/>
                <w:bCs/>
                <w:color w:val="FFFFFF"/>
                <w:sz w:val="20"/>
                <w:szCs w:val="20"/>
              </w:rPr>
              <w:t xml:space="preserve">What they capture</w:t>
            </w:r>
          </w:p>
        </w:tc>
      </w:tr>
      <w:tr>
        <w:tc>
          <w:tcPr>
            <w:tcW w:type="dxa" w:w="2600"/>
            <w:shd w:fill="FFFFFF" w:val="clear"/>
            <w:vAlign w:val="center"/>
          </w:tcPr>
          <w:p>
            <w:r>
              <w:rPr>
                <w:b w:val="false"/>
                <w:bCs w:val="false"/>
                <w:sz w:val="20"/>
                <w:szCs w:val="20"/>
              </w:rPr>
              <w:t xml:space="preserve">Windows Security log</w:t>
            </w:r>
          </w:p>
        </w:tc>
        <w:tc>
          <w:tcPr>
            <w:tcW w:type="dxa" w:w="2600"/>
            <w:shd w:fill="FFFFFF" w:val="clear"/>
            <w:vAlign w:val="center"/>
          </w:tcPr>
          <w:p>
            <w:r>
              <w:rPr>
                <w:b w:val="false"/>
                <w:bCs w:val="false"/>
                <w:sz w:val="20"/>
                <w:szCs w:val="20"/>
              </w:rPr>
              <w:t xml:space="preserve">4624 / 4625 / 4688</w:t>
            </w:r>
          </w:p>
        </w:tc>
        <w:tc>
          <w:tcPr>
            <w:tcW w:type="dxa" w:w="4150"/>
            <w:shd w:fill="FFFFFF" w:val="clear"/>
            <w:vAlign w:val="center"/>
          </w:tcPr>
          <w:p>
            <w:r>
              <w:rPr>
                <w:b w:val="false"/>
                <w:bCs w:val="false"/>
                <w:sz w:val="20"/>
                <w:szCs w:val="20"/>
              </w:rPr>
              <w:t xml:space="preserve">Successful logon, failed logon, process creation</w:t>
            </w:r>
          </w:p>
        </w:tc>
      </w:tr>
      <w:tr>
        <w:tc>
          <w:tcPr>
            <w:tcW w:type="dxa" w:w="2600"/>
            <w:shd w:fill="EAF1F8" w:val="clear"/>
            <w:vAlign w:val="center"/>
          </w:tcPr>
          <w:p>
            <w:r>
              <w:rPr>
                <w:b w:val="false"/>
                <w:bCs w:val="false"/>
                <w:sz w:val="20"/>
                <w:szCs w:val="20"/>
              </w:rPr>
              <w:t xml:space="preserve">Sysmon Operational log</w:t>
            </w:r>
          </w:p>
        </w:tc>
        <w:tc>
          <w:tcPr>
            <w:tcW w:type="dxa" w:w="2600"/>
            <w:shd w:fill="EAF1F8" w:val="clear"/>
            <w:vAlign w:val="center"/>
          </w:tcPr>
          <w:p>
            <w:r>
              <w:rPr>
                <w:b w:val="false"/>
                <w:bCs w:val="false"/>
                <w:sz w:val="20"/>
                <w:szCs w:val="20"/>
              </w:rPr>
              <w:t xml:space="preserve">1 / 3 / 10 / 11 / 13 / 22</w:t>
            </w:r>
          </w:p>
        </w:tc>
        <w:tc>
          <w:tcPr>
            <w:tcW w:type="dxa" w:w="4150"/>
            <w:shd w:fill="EAF1F8" w:val="clear"/>
            <w:vAlign w:val="center"/>
          </w:tcPr>
          <w:p>
            <w:r>
              <w:rPr>
                <w:b w:val="false"/>
                <w:bCs w:val="false"/>
                <w:sz w:val="20"/>
                <w:szCs w:val="20"/>
              </w:rPr>
              <w:t xml:space="preserve">Process creation, network connection, process access, file creation, registry set, DNS query</w:t>
            </w:r>
          </w:p>
        </w:tc>
      </w:tr>
    </w:tbl>
    <w:p>
      <w:pPr>
        <w:spacing w:after="160"/>
      </w:pPr>
      <w:r>
        <w:t xml:space="preserve"/>
      </w:r>
    </w:p>
    <w:p>
      <w:pPr>
        <w:spacing w:after="160"/>
      </w:pPr>
      <w:r>
        <w:t xml:space="preserve">The DCR was then associated with the VM so the agent knows which rule to apply:</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az monitor data-collection rule association create --name cybersec-win11-dcr-association \</w:t>
      </w:r>
      <w:r>
        <w:rPr>
          <w:rFonts w:ascii="Consolas" w:cs="Consolas" w:eastAsia="Consolas" w:hAnsi="Consolas"/>
          <w:sz w:val="18"/>
          <w:szCs w:val="18"/>
        </w:rPr>
        <w:br/>
        <w:t xml:space="preserve">  --resource "/subscriptions/&lt;SUBSCRIPTION_ID&gt;/resourceGroups/cybersec-homelab-rg/</w:t>
      </w:r>
      <w:r>
        <w:rPr>
          <w:rFonts w:ascii="Consolas" w:cs="Consolas" w:eastAsia="Consolas" w:hAnsi="Consolas"/>
          <w:sz w:val="18"/>
          <w:szCs w:val="18"/>
        </w:rPr>
        <w:br/>
        <w:t xml:space="preserve">    providers/Microsoft.Compute/virtualMachines/cybersec-win11" \</w:t>
      </w:r>
      <w:r>
        <w:rPr>
          <w:rFonts w:ascii="Consolas" w:cs="Consolas" w:eastAsia="Consolas" w:hAnsi="Consolas"/>
          <w:sz w:val="18"/>
          <w:szCs w:val="18"/>
        </w:rPr>
        <w:br/>
        <w:t xml:space="preserve">  --rule-id "&lt;DCR_RESOURCE_ID&gt;"</w:t>
      </w:r>
    </w:p>
    <w:p>
      <w:pPr>
        <w:pStyle w:val="Heading2"/>
        <w:spacing w:after="150" w:before="300"/>
      </w:pPr>
      <w:r>
        <w:t xml:space="preserve">3.6 Verifying the pipeline</w:t>
      </w:r>
    </w:p>
    <w:p>
      <w:pPr>
        <w:spacing w:after="160"/>
      </w:pPr>
      <w:r>
        <w:t xml:space="preserve">Rather than assuming the pipeline worked, each stage was validated directly on the VM using az vm run-command, and cross-checked against what Log Analytics was actually ingesting:</w:t>
      </w:r>
    </w:p>
    <w:p>
      <w:pPr>
        <w:pStyle w:val="ListParagraph"/>
        <w:numPr>
          <w:ilvl w:val="0"/>
          <w:numId w:val="1"/>
        </w:numPr>
        <w:spacing w:after="80"/>
      </w:pPr>
      <w:r>
        <w:t xml:space="preserve">Confirmed the AzureMonitorAgent service and the Sysmon/Sysmon64 service were both running</w:t>
      </w:r>
    </w:p>
    <w:p>
      <w:pPr>
        <w:pStyle w:val="ListParagraph"/>
        <w:numPr>
          <w:ilvl w:val="0"/>
          <w:numId w:val="1"/>
        </w:numPr>
        <w:spacing w:after="80"/>
      </w:pPr>
      <w:r>
        <w:t xml:space="preserve">Generated a live 4688 event with Get-WinEvent and confirmed it appeared in the workspace within minutes</w:t>
      </w:r>
    </w:p>
    <w:p>
      <w:pPr>
        <w:pStyle w:val="ListParagraph"/>
        <w:numPr>
          <w:ilvl w:val="0"/>
          <w:numId w:val="1"/>
        </w:numPr>
        <w:spacing w:after="80"/>
      </w:pPr>
      <w:r>
        <w:t xml:space="preserve">Used the Azure Instance Metadata Service (IMDS) to confirm the agent could reach its control plane</w:t>
      </w:r>
    </w:p>
    <w:p>
      <w:pPr>
        <w:pStyle w:val="ListParagraph"/>
        <w:numPr>
          <w:ilvl w:val="0"/>
          <w:numId w:val="1"/>
        </w:numPr>
        <w:spacing w:after="80"/>
      </w:pPr>
      <w:r>
        <w:t xml:space="preserve">When ingestion stalled, restarted the HealthService and MonAgentHost process, and reviewed the agent's local log (MonAgentHost log under C:\WindowsAzure\Resources) to diagnose it</w:t>
      </w:r>
    </w:p>
    <w:p>
      <w:pPr>
        <w:spacing w:after="160"/>
      </w:pPr>
      <w:r>
        <w:t xml:space="preserve">This troubleshoot-by-evidence loop — generate an event, query for it, check the agent logs if it's missing — mirrors how you'd validate a real EDR/SIEM onboarding in production.</w:t>
      </w:r>
    </w:p>
    <w:p>
      <w:r>
        <w:br w:type="page"/>
      </w:r>
    </w:p>
    <w:p>
      <w:pPr>
        <w:pStyle w:val="Heading1"/>
        <w:spacing w:after="200" w:before="400"/>
      </w:pPr>
      <w:r>
        <w:t xml:space="preserve">4. Detection Engineering</w:t>
      </w:r>
    </w:p>
    <w:p>
      <w:pPr>
        <w:spacing w:after="160"/>
      </w:pPr>
      <w:r>
        <w:t xml:space="preserve">With telemetry flowing, KQL queries were written directly against the workspace to hunt for and characterize activity of interest. These map to common early-stage attacker techniques (MITRE ATT&amp;CK T1059 – Command and Scripting Interpreter, T1218 – System Binary Proxy Execution).</w:t>
      </w:r>
    </w:p>
    <w:p>
      <w:pPr>
        <w:pStyle w:val="Heading2"/>
        <w:spacing w:after="150" w:before="300"/>
      </w:pPr>
      <w:r>
        <w:t xml:space="preserve">4.1 Recent process creation (Security 4688)</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Event</w:t>
      </w:r>
      <w:r>
        <w:rPr>
          <w:rFonts w:ascii="Consolas" w:cs="Consolas" w:eastAsia="Consolas" w:hAnsi="Consolas"/>
          <w:sz w:val="18"/>
          <w:szCs w:val="18"/>
        </w:rPr>
        <w:br/>
        <w:t xml:space="preserve">| where TimeGenerated &gt; ago(10m)</w:t>
      </w:r>
      <w:r>
        <w:rPr>
          <w:rFonts w:ascii="Consolas" w:cs="Consolas" w:eastAsia="Consolas" w:hAnsi="Consolas"/>
          <w:sz w:val="18"/>
          <w:szCs w:val="18"/>
        </w:rPr>
        <w:br/>
        <w:t xml:space="preserve">| where EventID == 4688</w:t>
      </w:r>
      <w:r>
        <w:rPr>
          <w:rFonts w:ascii="Consolas" w:cs="Consolas" w:eastAsia="Consolas" w:hAnsi="Consolas"/>
          <w:sz w:val="18"/>
          <w:szCs w:val="18"/>
        </w:rPr>
        <w:br/>
        <w:t xml:space="preserve">| project TimeGenerated, Computer, EventID, EventData</w:t>
      </w:r>
      <w:r>
        <w:rPr>
          <w:rFonts w:ascii="Consolas" w:cs="Consolas" w:eastAsia="Consolas" w:hAnsi="Consolas"/>
          <w:sz w:val="18"/>
          <w:szCs w:val="18"/>
        </w:rPr>
        <w:br/>
        <w:t xml:space="preserve">| order by TimeGenerated desc</w:t>
      </w:r>
      <w:r>
        <w:rPr>
          <w:rFonts w:ascii="Consolas" w:cs="Consolas" w:eastAsia="Consolas" w:hAnsi="Consolas"/>
          <w:sz w:val="18"/>
          <w:szCs w:val="18"/>
        </w:rPr>
        <w:br/>
        <w:t xml:space="preserve">| take 10</w:t>
      </w:r>
    </w:p>
    <w:p>
      <w:pPr>
        <w:pStyle w:val="Heading2"/>
        <w:spacing w:after="150" w:before="300"/>
      </w:pPr>
      <w:r>
        <w:t xml:space="preserve">4.2 Parsed process creation with parent/child lineage</w:t>
      </w:r>
    </w:p>
    <w:p>
      <w:pPr>
        <w:spacing w:after="160"/>
      </w:pPr>
      <w:r>
        <w:t xml:space="preserve">EventData arrives as embedded XML, so fields of interest are extracted with the extract() function to build an analyst-friendly table:</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Event</w:t>
      </w:r>
      <w:r>
        <w:rPr>
          <w:rFonts w:ascii="Consolas" w:cs="Consolas" w:eastAsia="Consolas" w:hAnsi="Consolas"/>
          <w:sz w:val="18"/>
          <w:szCs w:val="18"/>
        </w:rPr>
        <w:br/>
        <w:t xml:space="preserve">| where TimeGenerated &gt; ago(30m)</w:t>
      </w:r>
      <w:r>
        <w:rPr>
          <w:rFonts w:ascii="Consolas" w:cs="Consolas" w:eastAsia="Consolas" w:hAnsi="Consolas"/>
          <w:sz w:val="18"/>
          <w:szCs w:val="18"/>
        </w:rPr>
        <w:br/>
        <w:t xml:space="preserve">| where EventID == 4688</w:t>
      </w:r>
      <w:r>
        <w:rPr>
          <w:rFonts w:ascii="Consolas" w:cs="Consolas" w:eastAsia="Consolas" w:hAnsi="Consolas"/>
          <w:sz w:val="18"/>
          <w:szCs w:val="18"/>
        </w:rPr>
        <w:br/>
        <w:t xml:space="preserve">| extend NewProcessName = extract('&lt;Data Name="NewProcessName"&gt;([^&lt;]*)&lt;/Data&gt;', 1, tostring(EventData))</w:t>
      </w:r>
      <w:r>
        <w:rPr>
          <w:rFonts w:ascii="Consolas" w:cs="Consolas" w:eastAsia="Consolas" w:hAnsi="Consolas"/>
          <w:sz w:val="18"/>
          <w:szCs w:val="18"/>
        </w:rPr>
        <w:br/>
        <w:t xml:space="preserve">| extend ParentProcessName = extract('&lt;Data Name="ParentProcessName"&gt;([^&lt;]*)&lt;/Data&gt;', 1, tostring(EventData))</w:t>
      </w:r>
      <w:r>
        <w:rPr>
          <w:rFonts w:ascii="Consolas" w:cs="Consolas" w:eastAsia="Consolas" w:hAnsi="Consolas"/>
          <w:sz w:val="18"/>
          <w:szCs w:val="18"/>
        </w:rPr>
        <w:br/>
        <w:t xml:space="preserve">| extend CommandLine = extract('&lt;Data Name="CommandLine"&gt;([^&lt;]*)&lt;/Data&gt;', 1, tostring(EventData))</w:t>
      </w:r>
      <w:r>
        <w:rPr>
          <w:rFonts w:ascii="Consolas" w:cs="Consolas" w:eastAsia="Consolas" w:hAnsi="Consolas"/>
          <w:sz w:val="18"/>
          <w:szCs w:val="18"/>
        </w:rPr>
        <w:br/>
        <w:t xml:space="preserve">| extend User = extract('&lt;Data Name="SubjectUserName"&gt;([^&lt;]*)&lt;/Data&gt;', 1, tostring(EventData))</w:t>
      </w:r>
      <w:r>
        <w:rPr>
          <w:rFonts w:ascii="Consolas" w:cs="Consolas" w:eastAsia="Consolas" w:hAnsi="Consolas"/>
          <w:sz w:val="18"/>
          <w:szCs w:val="18"/>
        </w:rPr>
        <w:br/>
        <w:t xml:space="preserve">| project TimeGenerated, Computer, User, NewProcessName, ParentProcessName, CommandLine</w:t>
      </w:r>
      <w:r>
        <w:rPr>
          <w:rFonts w:ascii="Consolas" w:cs="Consolas" w:eastAsia="Consolas" w:hAnsi="Consolas"/>
          <w:sz w:val="18"/>
          <w:szCs w:val="18"/>
        </w:rPr>
        <w:br/>
        <w:t xml:space="preserve">| order by TimeGenerated desc</w:t>
      </w:r>
      <w:r>
        <w:rPr>
          <w:rFonts w:ascii="Consolas" w:cs="Consolas" w:eastAsia="Consolas" w:hAnsi="Consolas"/>
          <w:sz w:val="18"/>
          <w:szCs w:val="18"/>
        </w:rPr>
        <w:br/>
        <w:t xml:space="preserve">| take 20</w:t>
      </w:r>
    </w:p>
    <w:p>
      <w:pPr>
        <w:pStyle w:val="Heading2"/>
        <w:spacing w:after="150" w:before="300"/>
      </w:pPr>
      <w:r>
        <w:t xml:space="preserve">4.3 Living-off-the-land binary (LOLBin) detection</w:t>
      </w:r>
    </w:p>
    <w:p>
      <w:pPr>
        <w:spacing w:after="160"/>
      </w:pPr>
      <w:r>
        <w:t xml:space="preserve">The highest-value query in the lab: it parses Sysmon Event ID 1 (process creation) and flags any process whose image name matches a short list of binaries commonly abused to proxy-execute malicious code — PowerShell, cmd, wscript/cscript, mshta, rundll32, and regsvr32 — alongside their full command line and parent process, which is exactly what an analyst needs to triage the alert.</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Event</w:t>
      </w:r>
      <w:r>
        <w:rPr>
          <w:rFonts w:ascii="Consolas" w:cs="Consolas" w:eastAsia="Consolas" w:hAnsi="Consolas"/>
          <w:sz w:val="18"/>
          <w:szCs w:val="18"/>
        </w:rPr>
        <w:br/>
        <w:t xml:space="preserve">| where TimeGenerated &gt; ago(1h)</w:t>
      </w:r>
      <w:r>
        <w:rPr>
          <w:rFonts w:ascii="Consolas" w:cs="Consolas" w:eastAsia="Consolas" w:hAnsi="Consolas"/>
          <w:sz w:val="18"/>
          <w:szCs w:val="18"/>
        </w:rPr>
        <w:br/>
        <w:t xml:space="preserve">| where EventLog == 'Microsoft-Windows-Sysmon/Operational'</w:t>
      </w:r>
      <w:r>
        <w:rPr>
          <w:rFonts w:ascii="Consolas" w:cs="Consolas" w:eastAsia="Consolas" w:hAnsi="Consolas"/>
          <w:sz w:val="18"/>
          <w:szCs w:val="18"/>
        </w:rPr>
        <w:br/>
        <w:t xml:space="preserve">| where EventID == 1</w:t>
      </w:r>
      <w:r>
        <w:rPr>
          <w:rFonts w:ascii="Consolas" w:cs="Consolas" w:eastAsia="Consolas" w:hAnsi="Consolas"/>
          <w:sz w:val="18"/>
          <w:szCs w:val="18"/>
        </w:rPr>
        <w:br/>
        <w:t xml:space="preserve">| extend Image = extract('&lt;Data Name="Image"&gt;([^&lt;]*)&lt;/Data&gt;', 1, tostring(EventData))</w:t>
      </w:r>
      <w:r>
        <w:rPr>
          <w:rFonts w:ascii="Consolas" w:cs="Consolas" w:eastAsia="Consolas" w:hAnsi="Consolas"/>
          <w:sz w:val="18"/>
          <w:szCs w:val="18"/>
        </w:rPr>
        <w:br/>
        <w:t xml:space="preserve">| extend CommandLine = extract('&lt;Data Name="CommandLine"&gt;([^&lt;]*)&lt;/Data&gt;', 1, tostring(EventData))</w:t>
      </w:r>
      <w:r>
        <w:rPr>
          <w:rFonts w:ascii="Consolas" w:cs="Consolas" w:eastAsia="Consolas" w:hAnsi="Consolas"/>
          <w:sz w:val="18"/>
          <w:szCs w:val="18"/>
        </w:rPr>
        <w:br/>
        <w:t xml:space="preserve">| extend ParentImage = extract('&lt;Data Name="ParentImage"&gt;([^&lt;]*)&lt;/Data&gt;', 1, tostring(EventData))</w:t>
      </w:r>
      <w:r>
        <w:rPr>
          <w:rFonts w:ascii="Consolas" w:cs="Consolas" w:eastAsia="Consolas" w:hAnsi="Consolas"/>
          <w:sz w:val="18"/>
          <w:szCs w:val="18"/>
        </w:rPr>
        <w:br/>
        <w:t xml:space="preserve">| extend ParentCommandLine = extract('&lt;Data Name="ParentCommandLine"&gt;([^&lt;]*)&lt;/Data&gt;', 1, tostring(EventData))</w:t>
      </w:r>
      <w:r>
        <w:rPr>
          <w:rFonts w:ascii="Consolas" w:cs="Consolas" w:eastAsia="Consolas" w:hAnsi="Consolas"/>
          <w:sz w:val="18"/>
          <w:szCs w:val="18"/>
        </w:rPr>
        <w:br/>
        <w:t xml:space="preserve">| extend User = extract('&lt;Data Name="User"&gt;([^&lt;]*)&lt;/Data&gt;', 1, tostring(EventData))</w:t>
      </w:r>
      <w:r>
        <w:rPr>
          <w:rFonts w:ascii="Consolas" w:cs="Consolas" w:eastAsia="Consolas" w:hAnsi="Consolas"/>
          <w:sz w:val="18"/>
          <w:szCs w:val="18"/>
        </w:rPr>
        <w:br/>
        <w:t xml:space="preserve">| where Image matches regex @'(?i)\\(powershell|pwsh|cmd|wscript|cscript|mshta|rundll32|regsvr32)\.exe$'</w:t>
      </w:r>
      <w:r>
        <w:rPr>
          <w:rFonts w:ascii="Consolas" w:cs="Consolas" w:eastAsia="Consolas" w:hAnsi="Consolas"/>
          <w:sz w:val="18"/>
          <w:szCs w:val="18"/>
        </w:rPr>
        <w:br/>
        <w:t xml:space="preserve">| project TimeGenerated, Computer, User, Image, CommandLine, ParentImage, ParentCommandLine</w:t>
      </w:r>
      <w:r>
        <w:rPr>
          <w:rFonts w:ascii="Consolas" w:cs="Consolas" w:eastAsia="Consolas" w:hAnsi="Consolas"/>
          <w:sz w:val="18"/>
          <w:szCs w:val="18"/>
        </w:rPr>
        <w:br/>
        <w:t xml:space="preserve">| order by TimeGenerated desc</w:t>
      </w:r>
      <w:r>
        <w:rPr>
          <w:rFonts w:ascii="Consolas" w:cs="Consolas" w:eastAsia="Consolas" w:hAnsi="Consolas"/>
          <w:sz w:val="18"/>
          <w:szCs w:val="18"/>
        </w:rPr>
        <w:br/>
        <w:t xml:space="preserve">| take 30</w:t>
      </w:r>
    </w:p>
    <w:p>
      <w:pPr>
        <w:spacing w:after="160"/>
      </w:pPr>
      <w:r>
        <w:t xml:space="preserve">This query is a natural candidate to promote into a saved Sentinel Analytics Rule with a scheduled trigger — see Future Work.</w:t>
      </w:r>
    </w:p>
    <w:p>
      <w:pPr>
        <w:pStyle w:val="Heading1"/>
        <w:spacing w:after="200" w:before="400"/>
      </w:pPr>
      <w:r>
        <w:t xml:space="preserve">5. Cost and Governance Awareness</w:t>
      </w:r>
    </w:p>
    <w:p>
      <w:pPr>
        <w:spacing w:after="160"/>
      </w:pPr>
      <w:r>
        <w:t xml:space="preserve">Because this lab runs on a personal subscription, cost and compliance were treated as first-class concerns rather than an afterthought:</w:t>
      </w:r>
    </w:p>
    <w:p>
      <w:pPr>
        <w:pStyle w:val="ListParagraph"/>
        <w:numPr>
          <w:ilvl w:val="0"/>
          <w:numId w:val="1"/>
        </w:numPr>
        <w:spacing w:after="80"/>
      </w:pPr>
      <w:r>
        <w:t xml:space="preserve">VM auto-shutdown scheduled daily to cap idle compute spend</w:t>
      </w:r>
    </w:p>
    <w:p>
      <w:pPr>
        <w:pStyle w:val="ListParagraph"/>
        <w:numPr>
          <w:ilvl w:val="0"/>
          <w:numId w:val="1"/>
        </w:numPr>
        <w:spacing w:after="80"/>
      </w:pPr>
      <w:r>
        <w:t xml:space="preserve">Explicit delete-on-termination for the NIC and OS disk to avoid orphaned billable resources</w:t>
      </w:r>
    </w:p>
    <w:p>
      <w:pPr>
        <w:pStyle w:val="ListParagraph"/>
        <w:numPr>
          <w:ilvl w:val="0"/>
          <w:numId w:val="1"/>
        </w:numPr>
        <w:spacing w:after="80"/>
      </w:pPr>
      <w:r>
        <w:t xml:space="preserve">Log Analytics retention set to 30 days (PerGB2018 tier) rather than a longer, costlier default</w:t>
      </w:r>
    </w:p>
    <w:p>
      <w:pPr>
        <w:pStyle w:val="ListParagraph"/>
        <w:numPr>
          <w:ilvl w:val="0"/>
          <w:numId w:val="1"/>
        </w:numPr>
        <w:spacing w:after="80"/>
      </w:pPr>
      <w:r>
        <w:t xml:space="preserve">Usage tracked directly with az consumption usage list, filtered to lab resources and Sentinel meters</w:t>
      </w:r>
    </w:p>
    <w:p>
      <w:pPr>
        <w:pStyle w:val="ListParagraph"/>
        <w:numPr>
          <w:ilvl w:val="0"/>
          <w:numId w:val="1"/>
        </w:numPr>
        <w:spacing w:after="80"/>
      </w:pPr>
      <w:r>
        <w:t xml:space="preserve">Regional deployment constrained by an existing Azure Policy (allowed deployment regions), discovered and worked around rather than bypassed</w:t>
      </w:r>
    </w:p>
    <w:p>
      <w:pPr>
        <w:pBdr>
          <w:top w:val="single" w:color="CCCCCC" w:sz="2"/>
          <w:bottom w:val="single" w:color="CCCCCC" w:sz="2"/>
          <w:left w:val="single" w:color="CCCCCC" w:sz="2"/>
          <w:right w:val="single" w:color="CCCCCC" w:sz="2"/>
        </w:pBdr>
        <w:shd w:fill="F4F4F4" w:val="clear"/>
        <w:spacing w:after="200" w:before="100"/>
      </w:pPr>
      <w:r>
        <w:rPr>
          <w:rFonts w:ascii="Consolas" w:cs="Consolas" w:eastAsia="Consolas" w:hAnsi="Consolas"/>
          <w:sz w:val="18"/>
          <w:szCs w:val="18"/>
        </w:rPr>
        <w:t xml:space="preserve">az consumption usage list --start-date 2026-08-01 --end-date 2026-08-21 \</w:t>
      </w:r>
      <w:r>
        <w:rPr>
          <w:rFonts w:ascii="Consolas" w:cs="Consolas" w:eastAsia="Consolas" w:hAnsi="Consolas"/>
          <w:sz w:val="18"/>
          <w:szCs w:val="18"/>
        </w:rPr>
        <w:br/>
        <w:t xml:space="preserve">  --query "[?contains(instanceName,'cyberlab') || contains(meterName,'Sentinel')]</w:t>
      </w:r>
      <w:r>
        <w:rPr>
          <w:rFonts w:ascii="Consolas" w:cs="Consolas" w:eastAsia="Consolas" w:hAnsi="Consolas"/>
          <w:sz w:val="18"/>
          <w:szCs w:val="18"/>
        </w:rPr>
        <w:br/>
        <w:t xml:space="preserve">    .[instanceName,meterName,pretaxCost]" -o table</w:t>
      </w:r>
    </w:p>
    <w:p>
      <w:pPr>
        <w:pStyle w:val="Heading1"/>
        <w:spacing w:after="200" w:before="400"/>
      </w:pPr>
      <w:r>
        <w:t xml:space="preserve">6. Challenges and Lessons Learned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F4E79" w:val="clear"/>
            <w:vAlign w:val="center"/>
          </w:tcPr>
          <w:p>
            <w:r>
              <w:rPr>
                <w:b/>
                <w:bCs/>
                <w:color w:val="FFFFFF"/>
                <w:sz w:val="20"/>
                <w:szCs w:val="20"/>
              </w:rPr>
              <w:t xml:space="preserve">Challenge</w:t>
            </w:r>
          </w:p>
        </w:tc>
        <w:tc>
          <w:tcPr>
            <w:tcW w:type="dxa" w:w="6050"/>
            <w:shd w:fill="1F4E79" w:val="clear"/>
            <w:vAlign w:val="center"/>
          </w:tcPr>
          <w:p>
            <w:r>
              <w:rPr>
                <w:b/>
                <w:bCs/>
                <w:color w:val="FFFFFF"/>
                <w:sz w:val="20"/>
                <w:szCs w:val="20"/>
              </w:rPr>
              <w:t xml:space="preserve">Resolution</w:t>
            </w:r>
          </w:p>
        </w:tc>
      </w:tr>
      <w:tr>
        <w:tc>
          <w:tcPr>
            <w:tcW w:type="dxa" w:w="3300"/>
            <w:shd w:fill="FFFFFF" w:val="clear"/>
            <w:vAlign w:val="center"/>
          </w:tcPr>
          <w:p>
            <w:r>
              <w:rPr>
                <w:b w:val="false"/>
                <w:bCs w:val="false"/>
                <w:sz w:val="20"/>
                <w:szCs w:val="20"/>
              </w:rPr>
              <w:t xml:space="preserve">Deployment blocked by an “allowed regions” policy in two regions</w:t>
            </w:r>
          </w:p>
        </w:tc>
        <w:tc>
          <w:tcPr>
            <w:tcW w:type="dxa" w:w="6050"/>
            <w:shd w:fill="FFFFFF" w:val="clear"/>
            <w:vAlign w:val="center"/>
          </w:tcPr>
          <w:p>
            <w:r>
              <w:rPr>
                <w:b w:val="false"/>
                <w:bCs w:val="false"/>
                <w:sz w:val="20"/>
                <w:szCs w:val="20"/>
              </w:rPr>
              <w:t xml:space="preserve">Queried the policy definition directly, identified an approved region (East Asia), and redeployed</w:t>
            </w:r>
          </w:p>
        </w:tc>
      </w:tr>
      <w:tr>
        <w:tc>
          <w:tcPr>
            <w:tcW w:type="dxa" w:w="3300"/>
            <w:shd w:fill="EAF1F8" w:val="clear"/>
            <w:vAlign w:val="center"/>
          </w:tcPr>
          <w:p>
            <w:r>
              <w:rPr>
                <w:b w:val="false"/>
                <w:bCs w:val="false"/>
                <w:sz w:val="20"/>
                <w:szCs w:val="20"/>
              </w:rPr>
              <w:t xml:space="preserve">Sentinel onboarding REST calls failed on older API versions</w:t>
            </w:r>
          </w:p>
        </w:tc>
        <w:tc>
          <w:tcPr>
            <w:tcW w:type="dxa" w:w="6050"/>
            <w:shd w:fill="EAF1F8" w:val="clear"/>
            <w:vAlign w:val="center"/>
          </w:tcPr>
          <w:p>
            <w:r>
              <w:rPr>
                <w:b w:val="false"/>
                <w:bCs w:val="false"/>
                <w:sz w:val="20"/>
                <w:szCs w:val="20"/>
              </w:rPr>
              <w:t xml:space="preserve">Confirmed Microsoft.SecurityInsights provider registration first, then moved to a current API version</w:t>
            </w:r>
          </w:p>
        </w:tc>
      </w:tr>
      <w:tr>
        <w:tc>
          <w:tcPr>
            <w:tcW w:type="dxa" w:w="3300"/>
            <w:shd w:fill="FFFFFF" w:val="clear"/>
            <w:vAlign w:val="center"/>
          </w:tcPr>
          <w:p>
            <w:r>
              <w:rPr>
                <w:b w:val="false"/>
                <w:bCs w:val="false"/>
                <w:sz w:val="20"/>
                <w:szCs w:val="20"/>
              </w:rPr>
              <w:t xml:space="preserve">VM image's default OS disk was larger than the requested size</w:t>
            </w:r>
          </w:p>
        </w:tc>
        <w:tc>
          <w:tcPr>
            <w:tcW w:type="dxa" w:w="6050"/>
            <w:shd w:fill="FFFFFF" w:val="clear"/>
            <w:vAlign w:val="center"/>
          </w:tcPr>
          <w:p>
            <w:r>
              <w:rPr>
                <w:b w:val="false"/>
                <w:bCs w:val="false"/>
                <w:sz w:val="20"/>
                <w:szCs w:val="20"/>
              </w:rPr>
              <w:t xml:space="preserve">Let the disk size match the source image (127 GB) instead of forcing a smaller custom size</w:t>
            </w:r>
          </w:p>
        </w:tc>
      </w:tr>
      <w:tr>
        <w:tc>
          <w:tcPr>
            <w:tcW w:type="dxa" w:w="3300"/>
            <w:shd w:fill="EAF1F8" w:val="clear"/>
            <w:vAlign w:val="center"/>
          </w:tcPr>
          <w:p>
            <w:r>
              <w:rPr>
                <w:b w:val="false"/>
                <w:bCs w:val="false"/>
                <w:sz w:val="20"/>
                <w:szCs w:val="20"/>
              </w:rPr>
              <w:t xml:space="preserve">Azure Monitor Agent showed installed but events weren't appearing</w:t>
            </w:r>
          </w:p>
        </w:tc>
        <w:tc>
          <w:tcPr>
            <w:tcW w:type="dxa" w:w="6050"/>
            <w:shd w:fill="EAF1F8" w:val="clear"/>
            <w:vAlign w:val="center"/>
          </w:tcPr>
          <w:p>
            <w:r>
              <w:rPr>
                <w:b w:val="false"/>
                <w:bCs w:val="false"/>
                <w:sz w:val="20"/>
                <w:szCs w:val="20"/>
              </w:rPr>
              <w:t xml:space="preserve">Verified IMDS connectivity, restarted the HealthService/MonAgentHost process, and reviewed the agent's local log to confirm ingestion resumed</w:t>
            </w:r>
          </w:p>
        </w:tc>
      </w:tr>
    </w:tbl>
    <w:p>
      <w:pPr>
        <w:pStyle w:val="Heading1"/>
        <w:spacing w:after="200" w:before="400"/>
      </w:pPr>
      <w:r>
        <w:t xml:space="preserve">7. Future Work</w:t>
      </w:r>
    </w:p>
    <w:p>
      <w:pPr>
        <w:pStyle w:val="ListParagraph"/>
        <w:numPr>
          <w:ilvl w:val="0"/>
          <w:numId w:val="1"/>
        </w:numPr>
        <w:spacing w:after="80"/>
      </w:pPr>
      <w:r>
        <w:t xml:space="preserve">Convert the LOLBin hunting query into a scheduled Sentinel Analytics Rule that raises Incidents automatically</w:t>
      </w:r>
    </w:p>
    <w:p>
      <w:pPr>
        <w:pStyle w:val="ListParagraph"/>
        <w:numPr>
          <w:ilvl w:val="0"/>
          <w:numId w:val="1"/>
        </w:numPr>
        <w:spacing w:after="80"/>
      </w:pPr>
      <w:r>
        <w:t xml:space="preserve">Add a Sentinel Workbook to visualize process-creation volume and top parent/child chains</w:t>
      </w:r>
    </w:p>
    <w:p>
      <w:pPr>
        <w:pStyle w:val="ListParagraph"/>
        <w:numPr>
          <w:ilvl w:val="0"/>
          <w:numId w:val="1"/>
        </w:numPr>
        <w:spacing w:after="80"/>
      </w:pPr>
      <w:r>
        <w:t xml:space="preserve">Run controlled attack simulations (e.g. Atomic Red Team) to validate detections against known ATT&amp;CK techniques</w:t>
      </w:r>
    </w:p>
    <w:p>
      <w:pPr>
        <w:pStyle w:val="ListParagraph"/>
        <w:numPr>
          <w:ilvl w:val="0"/>
          <w:numId w:val="1"/>
        </w:numPr>
        <w:spacing w:after="80"/>
      </w:pPr>
      <w:r>
        <w:t xml:space="preserve">Replace open RDP entirely with Azure Bastion or a JIT (just-in-time) access policy</w:t>
      </w:r>
    </w:p>
    <w:p>
      <w:pPr>
        <w:pStyle w:val="ListParagraph"/>
        <w:numPr>
          <w:ilvl w:val="0"/>
          <w:numId w:val="1"/>
        </w:numPr>
        <w:spacing w:after="80"/>
      </w:pPr>
      <w:r>
        <w:t xml:space="preserve">Expand the Data Collection Rule to cover PowerShell Script Block Logging (Event ID 4104) for deeper scripting visibility</w:t>
      </w:r>
    </w:p>
    <w:p>
      <w:pPr>
        <w:pStyle w:val="ListParagraph"/>
        <w:numPr>
          <w:ilvl w:val="0"/>
          <w:numId w:val="1"/>
        </w:numPr>
        <w:spacing w:after="80"/>
      </w:pPr>
      <w:r>
        <w:t xml:space="preserve">Add a budget alert / cost anomaly alert on the resource group</w:t>
      </w:r>
    </w:p>
    <w:p>
      <w:pPr>
        <w:pStyle w:val="Heading1"/>
        <w:spacing w:after="200" w:before="400"/>
      </w:pPr>
      <w:r>
        <w:t xml:space="preserve">8. Summary</w:t>
      </w:r>
    </w:p>
    <w:p>
      <w:pPr>
        <w:spacing w:after="160"/>
      </w:pPr>
      <w:r>
        <w:t xml:space="preserve">This lab reproduces the core building blocks of a cloud SOC — isolated network, monitored endpoint, centralized log platform, and hand-written detections — end to end in Azure. Every stage was verified with evidence (a generated event traced through to a KQL result) rather than assumed to be working, and cost/governance constraints were treated as real operating conditions rather than ignored, which reflects how this work is actually done in production environments.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2026-08-24T06:21:38.231Z</dcterms:created>
  <dcterms:modified xsi:type="dcterms:W3CDTF">2026-08-24T06:21:38.250Z</dcterms:modified>
</cp:coreProperties>
</file>

<file path=docProps/custom.xml><?xml version="1.0" encoding="utf-8"?>
<Properties xmlns="http://schemas.openxmlformats.org/officeDocument/2006/custom-properties" xmlns:vt="http://schemas.openxmlformats.org/officeDocument/2006/docPropsVTypes"/>
</file>