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color w:val="17B978"/>
          <w:sz w:val="22"/>
        </w:rPr>
        <w:t>PROVA DE APTIDÃO PROFISSIONAL</w:t>
      </w:r>
    </w:p>
    <w:p>
      <w:pPr>
        <w:spacing w:after="200"/>
        <w:jc w:val="center"/>
      </w:pPr>
      <w:r>
        <w:rPr>
          <w:rFonts w:ascii="Calibri" w:hAnsi="Calibri"/>
          <w:b/>
          <w:color w:val="16324F"/>
          <w:sz w:val="60"/>
        </w:rPr>
        <w:t>FORMA FLOW</w:t>
      </w:r>
    </w:p>
    <w:p>
      <w:pPr>
        <w:spacing w:after="560"/>
        <w:jc w:val="center"/>
      </w:pPr>
      <w:r>
        <w:rPr>
          <w:rFonts w:ascii="Calibri" w:hAnsi="Calibri"/>
          <w:color w:val="087FBE"/>
          <w:sz w:val="32"/>
        </w:rPr>
        <w:t>Sistema de Controlo e Avisos do Cheque-Formação</w:t>
      </w:r>
    </w:p>
    <w:p>
      <w:pPr>
        <w:spacing w:after="520"/>
        <w:jc w:val="center"/>
      </w:pPr>
      <w:r>
        <w:rPr>
          <w:rFonts w:ascii="Calibri" w:hAnsi="Calibri"/>
          <w:color w:val="17B978"/>
          <w:sz w:val="20"/>
        </w:rPr>
        <w:t>━━━━━━━━━━━━━━━━━━━━━━━━━━━━━━━━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70"/>
        <w:gridCol w:w="7341"/>
      </w:tblGrid>
      <w:tr>
        <w:trPr/>
        <w:tc>
          <w:tcPr>
            <w:tcW w:type="dxa" w:w="207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67085"/>
                <w:sz w:val="20"/>
              </w:rPr>
              <w:t>Aluno</w:t>
            </w:r>
          </w:p>
        </w:tc>
        <w:tc>
          <w:tcPr>
            <w:tcW w:type="dxa" w:w="7341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20"/>
              </w:rPr>
              <w:t>Salvador da Costa Ferreira</w:t>
            </w:r>
          </w:p>
        </w:tc>
      </w:tr>
      <w:tr>
        <w:trPr/>
        <w:tc>
          <w:tcPr>
            <w:tcW w:type="dxa" w:w="207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67085"/>
                <w:sz w:val="20"/>
              </w:rPr>
              <w:t>Curso</w:t>
            </w:r>
          </w:p>
        </w:tc>
        <w:tc>
          <w:tcPr>
            <w:tcW w:type="dxa" w:w="7341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20"/>
              </w:rPr>
              <w:t>Técnico de Gestão e Programação de Sistemas Informáticos</w:t>
            </w:r>
          </w:p>
        </w:tc>
      </w:tr>
      <w:tr>
        <w:trPr/>
        <w:tc>
          <w:tcPr>
            <w:tcW w:type="dxa" w:w="207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67085"/>
                <w:sz w:val="20"/>
              </w:rPr>
              <w:t>Área</w:t>
            </w:r>
          </w:p>
        </w:tc>
        <w:tc>
          <w:tcPr>
            <w:tcW w:type="dxa" w:w="7341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20"/>
              </w:rPr>
              <w:t>Programação e Sistemas de Informação</w:t>
            </w:r>
          </w:p>
        </w:tc>
      </w:tr>
      <w:tr>
        <w:trPr/>
        <w:tc>
          <w:tcPr>
            <w:tcW w:type="dxa" w:w="207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67085"/>
                <w:sz w:val="20"/>
              </w:rPr>
              <w:t>Ano letivo</w:t>
            </w:r>
          </w:p>
        </w:tc>
        <w:tc>
          <w:tcPr>
            <w:tcW w:type="dxa" w:w="7341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20"/>
              </w:rPr>
              <w:t>2025/2026</w:t>
            </w:r>
          </w:p>
        </w:tc>
      </w:tr>
      <w:tr>
        <w:trPr/>
        <w:tc>
          <w:tcPr>
            <w:tcW w:type="dxa" w:w="2070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667085"/>
                <w:sz w:val="20"/>
              </w:rPr>
              <w:t>Tecnologia principal</w:t>
            </w:r>
          </w:p>
        </w:tc>
        <w:tc>
          <w:tcPr>
            <w:tcW w:type="dxa" w:w="7341"/>
            <w:vAlign w:val="center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20"/>
              </w:rPr>
              <w:t>Python 3.12, Django 5.2 e PostgreSQL 17</w:t>
            </w:r>
          </w:p>
        </w:tc>
      </w:tr>
    </w:tbl>
    <w:p>
      <w:r>
        <w:br w:type="page"/>
      </w:r>
    </w:p>
    <w:p>
      <w:pPr>
        <w:pStyle w:val="Heading1"/>
      </w:pPr>
      <w:r>
        <w:t>Resumo executivo</w:t>
      </w:r>
    </w:p>
    <w:p>
      <w:pPr>
        <w:pStyle w:val="Lead"/>
      </w:pPr>
      <w:r>
        <w:t>O Forma Flow é uma aplicação web que centraliza candidaturas, pessoas, formação, documentos, prazos, decisões e movimentos financeiros associados ao Cheque-Formação.</w:t>
      </w:r>
    </w:p>
    <w:p>
      <w:r>
        <w:t>O projeto nasceu da dificuldade de acompanhar processos distribuídos por correio eletrónico, folhas de cálculo e pastas. A solução implementada transforma esse trabalho num percurso controlado, com permissões por perfil, checklist documental, máquina de estados, alertas idempotentes e histórico auditável.</w:t>
      </w:r>
    </w:p>
    <w:p>
      <w:r>
        <w:t>A versão final é um monólito modular em Django. O modelo contém 38 entidades de negócio e uma entidade técnica adicional para proteção da autenticação, distribuídas por nove aplicações de domínio. O workflow cobre 23 transições, desde a criação até ao encerramento ou correção administrativa.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color="EAF8F2"/>
          <w:left w:val="single" w:sz="4" w:color="EAF8F2"/>
          <w:bottom w:val="single" w:sz="4" w:color="EAF8F2"/>
          <w:right w:val="single" w:sz="4" w:color="EAF8F2"/>
          <w:insideH w:val="single" w:sz="4" w:color="EAF8F2"/>
          <w:insideV w:val="single" w:sz="4" w:color="EAF8F2"/>
        </w:tblBorders>
      </w:tblPr>
      <w:tblGrid>
        <w:gridCol w:w="9411"/>
      </w:tblGrid>
      <w:tr>
        <w:trPr/>
        <w:tc>
          <w:tcPr>
            <w:tcW w:type="dxa" w:w="9411"/>
            <w:shd w:fill="EAF8F2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6324F"/>
                <w:sz w:val="21"/>
              </w:rPr>
              <w:t>Resultado técnico verificado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72033"/>
                <w:sz w:val="20"/>
              </w:rPr>
              <w:t>199 testes Django e 5 testes do utilitário de backup passaram; a cobertura combinada atingiu 84,4%. O GitHub Actions validou PostgreSQL 17, instalação limpa, backup e restauro cifrados e construção da imagem Docker.</w:t>
            </w:r>
          </w:p>
        </w:tc>
      </w:tr>
    </w:tbl>
    <w:p>
      <w:pPr>
        <w:spacing w:after="40"/>
      </w:pPr>
    </w:p>
    <w:p>
      <w:r>
        <w:t>O sistema não substitui o Iefponline nem toma decisões oficiais em nome do IEFP. Regista factos e decisões introduzidos por utilizadores autorizados e usa apenas dados fictícios na demonstração escolar.</w:t>
      </w:r>
    </w:p>
    <w:p>
      <w:pPr>
        <w:pStyle w:val="Heading1"/>
      </w:pPr>
      <w:r>
        <w:t>Índice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1. Introdução e enquadramento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2. Problema, objetivos e utilizadores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3. Análise e modelação conceptual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4. Modelo de dados definitivo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5. Arquitetura técnica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6. Funcionalidades implementadas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7. Segurança, privacidade e fiabilidade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8. Testes e validação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9. Demonstração da PAP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10. Instalação, publicação e recuperação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11. Limitações e evolução futura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12. Conclusão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13. Reflexão pessoal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Anexo A. Endereços principais</w:t>
      </w:r>
    </w:p>
    <w:p>
      <w:pPr>
        <w:spacing w:after="60"/>
        <w:ind w:left="198"/>
      </w:pPr>
      <w:r>
        <w:rPr>
          <w:rFonts w:ascii="Calibri" w:hAnsi="Calibri"/>
          <w:color w:val="16324F"/>
          <w:sz w:val="21"/>
        </w:rPr>
        <w:t>Anexo B. Fontes e documentação</w:t>
      </w:r>
    </w:p>
    <w:p>
      <w:r>
        <w:br w:type="page"/>
      </w:r>
    </w:p>
    <w:p>
      <w:pPr>
        <w:pStyle w:val="Heading1"/>
      </w:pPr>
      <w:r>
        <w:t>1. Introdução e enquadramento</w:t>
      </w:r>
    </w:p>
    <w:p>
      <w:r>
        <w:t>Este relatório apresenta a evolução completa do Forma Flow: da identificação do problema e modelação conceptual, trabalhadas nos Módulos 12 e 13, até à implementação funcional desenvolvida para a PAP. A documentação inicial foi preservada como primeira iteração e revista à luz das decisões técnicas e dos resultados obtidos no código.</w:t>
      </w:r>
    </w:p>
    <w:p>
      <w:pPr>
        <w:pStyle w:val="Heading2"/>
      </w:pPr>
      <w:r>
        <w:t>1.1. Contexto</w:t>
      </w:r>
    </w:p>
    <w:p>
      <w:r>
        <w:t>O acompanhamento do Cheque-Formação exige controlo de intervenientes, documentação, prazos e acontecimentos oficiais. Quando a informação fica dispersa, aumenta o risco de perda de contexto, entrega tardia, versões contraditórias e acesso indevido a dados.</w:t>
      </w:r>
    </w:p>
    <w:p>
      <w:pPr>
        <w:pStyle w:val="Heading2"/>
      </w:pPr>
      <w:r>
        <w:t>1.2. Âmbito</w:t>
      </w:r>
    </w:p>
    <w:p>
      <w:pPr>
        <w:pStyle w:val="ListBullet"/>
        <w:spacing w:after="80" w:line="290" w:lineRule="auto"/>
      </w:pPr>
      <w:r>
        <w:t>Gestão de candidaturas individuais e empresariais.</w:t>
      </w:r>
    </w:p>
    <w:p>
      <w:pPr>
        <w:pStyle w:val="ListBullet"/>
        <w:spacing w:after="80" w:line="290" w:lineRule="auto"/>
      </w:pPr>
      <w:r>
        <w:t>Organização de ações de formação e respetivos beneficiários.</w:t>
      </w:r>
    </w:p>
    <w:p>
      <w:pPr>
        <w:pStyle w:val="ListBullet"/>
        <w:spacing w:after="80" w:line="290" w:lineRule="auto"/>
      </w:pPr>
      <w:r>
        <w:t>Checklist, validação e versionamento de documentos PDF privados.</w:t>
      </w:r>
    </w:p>
    <w:p>
      <w:pPr>
        <w:pStyle w:val="ListBullet"/>
        <w:spacing w:after="80" w:line="290" w:lineRule="auto"/>
      </w:pPr>
      <w:r>
        <w:t>Acompanhamento de estados, prazos, pedidos e notificações.</w:t>
      </w:r>
    </w:p>
    <w:p>
      <w:pPr>
        <w:pStyle w:val="ListBullet"/>
        <w:spacing w:after="80" w:line="290" w:lineRule="auto"/>
      </w:pPr>
      <w:r>
        <w:t>Separação entre estimativas, valores oficiais, pagamentos e restituições.</w:t>
      </w:r>
    </w:p>
    <w:p>
      <w:pPr>
        <w:pStyle w:val="ListBullet"/>
        <w:spacing w:after="80" w:line="290" w:lineRule="auto"/>
      </w:pPr>
      <w:r>
        <w:t>Relatórios mínimos e histórico de auditoria para operações sensíveis.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color="EAF5FB"/>
          <w:left w:val="single" w:sz="4" w:color="EAF5FB"/>
          <w:bottom w:val="single" w:sz="4" w:color="EAF5FB"/>
          <w:right w:val="single" w:sz="4" w:color="EAF5FB"/>
          <w:insideH w:val="single" w:sz="4" w:color="EAF5FB"/>
          <w:insideV w:val="single" w:sz="4" w:color="EAF5FB"/>
        </w:tblBorders>
      </w:tblPr>
      <w:tblGrid>
        <w:gridCol w:w="9411"/>
      </w:tblGrid>
      <w:tr>
        <w:trPr/>
        <w:tc>
          <w:tcPr>
            <w:tcW w:type="dxa" w:w="9411"/>
            <w:shd w:fill="EAF5FB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6324F"/>
                <w:sz w:val="21"/>
              </w:rPr>
              <w:t>Fora do âmbito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72033"/>
                <w:sz w:val="20"/>
              </w:rPr>
              <w:t>Não existe integração automática com IEFP, DGERT, SIGO, Autoridade Tributária ou Segurança Social; não são usados dados pessoais reais; o MVP não inclui aplicação móvel nem uma API pública.</w:t>
            </w:r>
          </w:p>
        </w:tc>
      </w:tr>
    </w:tbl>
    <w:p>
      <w:pPr>
        <w:spacing w:after="40"/>
      </w:pPr>
    </w:p>
    <w:p>
      <w:pPr>
        <w:pStyle w:val="Heading1"/>
      </w:pPr>
      <w:r>
        <w:t>2. Problema, objetivos e utilizadores</w:t>
      </w:r>
    </w:p>
    <w:p>
      <w:pPr>
        <w:pStyle w:val="Heading2"/>
      </w:pPr>
      <w:r>
        <w:t>2.1. Problema identificado</w:t>
      </w:r>
    </w:p>
    <w:p>
      <w:r>
        <w:t>O processo era acompanhado através de emails, folhas de cálculo e documentos dispersos. Esta organização dificultava a visão global da candidatura, a confirmação da documentação em falta e o cumprimento dos prazos.</w:t>
      </w:r>
    </w:p>
    <w:p>
      <w:pPr>
        <w:pStyle w:val="Heading2"/>
      </w:pPr>
      <w:r>
        <w:t>2.2. Objetivo geral</w:t>
      </w:r>
    </w:p>
    <w:p>
      <w:r>
        <w:t>Desenvolver uma plataforma web simples, segura e específica que permita acompanhar cada processo, orientar a próxima ação e gerar avisos atempados sem confundir informação interna com decisões oficiais externas.</w:t>
      </w:r>
    </w:p>
    <w:p>
      <w:pPr>
        <w:pStyle w:val="Heading2"/>
      </w:pPr>
      <w:r>
        <w:t>2.3. Perfis e responsabilidades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1665"/>
        <w:gridCol w:w="4561"/>
        <w:gridCol w:w="3185"/>
      </w:tblGrid>
      <w:tr>
        <w:trPr>
          <w:tblHeader w:val="true"/>
        </w:trPr>
        <w:tc>
          <w:tcPr>
            <w:tcW w:type="dxa" w:w="1665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561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type="dxa" w:w="3185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Limite de acesso</w:t>
            </w:r>
          </w:p>
        </w:tc>
      </w:tr>
      <w:tr>
        <w:trPr>
          <w:trHeight w:hRule="atLeast"/>
        </w:trPr>
        <w:tc>
          <w:tcPr>
            <w:tcW w:type="dxa" w:w="1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Candidato</w:t>
            </w:r>
          </w:p>
        </w:tc>
        <w:tc>
          <w:tcPr>
            <w:tcW w:type="dxa" w:w="45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Preparar a candidatura individual e consultar o próprio processo.</w:t>
            </w:r>
          </w:p>
        </w:tc>
        <w:tc>
          <w:tcPr>
            <w:tcW w:type="dxa" w:w="31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Apenas dados próprios.</w:t>
            </w:r>
          </w:p>
        </w:tc>
      </w:tr>
      <w:tr>
        <w:trPr>
          <w:trHeight w:hRule="atLeast"/>
        </w:trPr>
        <w:tc>
          <w:tcPr>
            <w:tcW w:type="dxa" w:w="166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Beneficiário</w:t>
            </w:r>
          </w:p>
        </w:tc>
        <w:tc>
          <w:tcPr>
            <w:tcW w:type="dxa" w:w="4561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Acompanhar participação e documentação que lhe dizem respeito.</w:t>
            </w:r>
          </w:p>
        </w:tc>
        <w:tc>
          <w:tcPr>
            <w:tcW w:type="dxa" w:w="318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Âmbito pessoal autorizado.</w:t>
            </w:r>
          </w:p>
        </w:tc>
      </w:tr>
      <w:tr>
        <w:trPr>
          <w:trHeight w:hRule="atLeast"/>
        </w:trPr>
        <w:tc>
          <w:tcPr>
            <w:tcW w:type="dxa" w:w="1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Gestor/RH</w:t>
            </w:r>
          </w:p>
        </w:tc>
        <w:tc>
          <w:tcPr>
            <w:tcW w:type="dxa" w:w="456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Gerir processos e beneficiários das empresas associadas.</w:t>
            </w:r>
          </w:p>
        </w:tc>
        <w:tc>
          <w:tcPr>
            <w:tcW w:type="dxa" w:w="318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Empresas e candidaturas atribuídas.</w:t>
            </w:r>
          </w:p>
        </w:tc>
      </w:tr>
      <w:tr>
        <w:trPr>
          <w:trHeight w:hRule="atLeast"/>
        </w:trPr>
        <w:tc>
          <w:tcPr>
            <w:tcW w:type="dxa" w:w="166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Técnico/Admin</w:t>
            </w:r>
          </w:p>
        </w:tc>
        <w:tc>
          <w:tcPr>
            <w:tcW w:type="dxa" w:w="4561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Registar acontecimentos oficiais, validar e administrar configuração.</w:t>
            </w:r>
          </w:p>
        </w:tc>
        <w:tc>
          <w:tcPr>
            <w:tcW w:type="dxa" w:w="318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Permissões explícitas e auditadas.</w:t>
            </w:r>
          </w:p>
        </w:tc>
      </w:tr>
    </w:tbl>
    <w:p>
      <w:pPr>
        <w:spacing w:after="40"/>
      </w:pPr>
    </w:p>
    <w:p>
      <w:pPr>
        <w:pStyle w:val="Heading2"/>
      </w:pPr>
      <w:r>
        <w:t>2.4. Critérios de sucesso</w:t>
      </w:r>
    </w:p>
    <w:p>
      <w:pPr>
        <w:pStyle w:val="ListBullet"/>
        <w:spacing w:after="80" w:line="290" w:lineRule="auto"/>
      </w:pPr>
      <w:r>
        <w:t>Informação centralizada e consultável de acordo com o perfil.</w:t>
      </w:r>
    </w:p>
    <w:p>
      <w:pPr>
        <w:pStyle w:val="ListBullet"/>
        <w:spacing w:after="80" w:line="290" w:lineRule="auto"/>
      </w:pPr>
      <w:r>
        <w:t>Estados e prazos reconstruíveis a partir do histórico.</w:t>
      </w:r>
    </w:p>
    <w:p>
      <w:pPr>
        <w:pStyle w:val="ListBullet"/>
        <w:spacing w:after="80" w:line="290" w:lineRule="auto"/>
      </w:pPr>
      <w:r>
        <w:t>Documentos protegidos, versionados e associados à fase correta.</w:t>
      </w:r>
    </w:p>
    <w:p>
      <w:pPr>
        <w:pStyle w:val="ListBullet"/>
        <w:spacing w:after="80" w:line="290" w:lineRule="auto"/>
      </w:pPr>
      <w:r>
        <w:t>Operações repetidas sem duplicar transições, alertas ou pagamentos.</w:t>
      </w:r>
    </w:p>
    <w:p>
      <w:pPr>
        <w:pStyle w:val="ListBullet"/>
        <w:spacing w:after="80" w:line="290" w:lineRule="auto"/>
      </w:pPr>
      <w:r>
        <w:t>Instalação e demonstração reproduzíveis sem Internet externa.</w:t>
      </w:r>
    </w:p>
    <w:p>
      <w:pPr>
        <w:pStyle w:val="Heading1"/>
      </w:pPr>
      <w:r>
        <w:t>3. Análise e modelação conceptual</w:t>
      </w:r>
    </w:p>
    <w:p>
      <w:pPr>
        <w:pStyle w:val="Heading2"/>
      </w:pPr>
      <w:r>
        <w:t>3.1. Casos de uso principais</w:t>
      </w:r>
    </w:p>
    <w:p>
      <w:pPr>
        <w:pStyle w:val="ListBullet"/>
        <w:spacing w:after="80" w:line="290" w:lineRule="auto"/>
      </w:pPr>
      <w:r>
        <w:t>Criar e preparar uma candidatura por etapas.</w:t>
      </w:r>
    </w:p>
    <w:p>
      <w:pPr>
        <w:pStyle w:val="ListBullet"/>
        <w:spacing w:after="80" w:line="290" w:lineRule="auto"/>
      </w:pPr>
      <w:r>
        <w:t>Associar beneficiários, ações de formação e componentes.</w:t>
      </w:r>
    </w:p>
    <w:p>
      <w:pPr>
        <w:pStyle w:val="ListBullet"/>
        <w:spacing w:after="80" w:line="290" w:lineRule="auto"/>
      </w:pPr>
      <w:r>
        <w:t>Carregar, substituir, validar e descarregar documentos autorizados.</w:t>
      </w:r>
    </w:p>
    <w:p>
      <w:pPr>
        <w:pStyle w:val="ListBullet"/>
        <w:spacing w:after="80" w:line="290" w:lineRule="auto"/>
      </w:pPr>
      <w:r>
        <w:t>Submeter, analisar, pedir elementos e registar uma decisão.</w:t>
      </w:r>
    </w:p>
    <w:p>
      <w:pPr>
        <w:pStyle w:val="ListBullet"/>
        <w:spacing w:after="80" w:line="290" w:lineRule="auto"/>
      </w:pPr>
      <w:r>
        <w:t>Receber o termo, acompanhar a formação e encerrar o processo.</w:t>
      </w:r>
    </w:p>
    <w:p>
      <w:pPr>
        <w:pStyle w:val="ListBullet"/>
        <w:spacing w:after="80" w:line="290" w:lineRule="auto"/>
      </w:pPr>
      <w:r>
        <w:t>Consultar alertas, tarefas, indicadores e exportações autorizadas.</w:t>
      </w:r>
    </w:p>
    <w:p>
      <w:pPr>
        <w:pStyle w:val="Heading2"/>
      </w:pPr>
      <w:r>
        <w:t>3.2. Evolução do modelo inicial</w:t>
      </w:r>
    </w:p>
    <w:p>
      <w:r>
        <w:t>A primeira modelação usava seis tabelas principais: EMPRESA, UTILIZADOR, FORMACAO, CANDIDATURA, DOCUMENTO e NOTIFICACAO. Essa representação foi útil para compreender o problema, mas não distinguia autorização de vínculo laboral, documento de ficheiro, estimativa de decisão nem tarefa de aviso.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1810"/>
        <w:gridCol w:w="4199"/>
        <w:gridCol w:w="3402"/>
      </w:tblGrid>
      <w:tr>
        <w:trPr>
          <w:tblHeader w:val="true"/>
        </w:trPr>
        <w:tc>
          <w:tcPr>
            <w:tcW w:type="dxa" w:w="1810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Estrutura inicial</w:t>
            </w:r>
          </w:p>
        </w:tc>
        <w:tc>
          <w:tcPr>
            <w:tcW w:type="dxa" w:w="4199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Evolução na implementação</w:t>
            </w:r>
          </w:p>
        </w:tc>
        <w:tc>
          <w:tcPr>
            <w:tcW w:type="dxa" w:w="3402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EMPRESA</w:t>
            </w:r>
          </w:p>
        </w:tc>
        <w:tc>
          <w:tcPr>
            <w:tcW w:type="dxa" w:w="41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Empresa, Associação, Vínculo e Conta de pagamento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Separar entidade, acesso, emprego e dados financeiros.</w:t>
            </w:r>
          </w:p>
        </w:tc>
      </w:tr>
      <w:tr>
        <w:trPr>
          <w:trHeight w:hRule="atLeast"/>
        </w:trPr>
        <w:tc>
          <w:tcPr>
            <w:tcW w:type="dxa" w:w="18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FORMACAO</w:t>
            </w:r>
          </w:p>
        </w:tc>
        <w:tc>
          <w:tcPr>
            <w:tcW w:type="dxa" w:w="419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Entidade formadora, Ação, Componente e Participação</w:t>
            </w:r>
          </w:p>
        </w:tc>
        <w:tc>
          <w:tcPr>
            <w:tcW w:type="dxa" w:w="340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Representar tipologia e dados por beneficiário.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CANDIDATURA</w:t>
            </w:r>
          </w:p>
        </w:tc>
        <w:tc>
          <w:tcPr>
            <w:tcW w:type="dxa" w:w="41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Beneficiários, atribuições, elegibilidade e workflow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Suportar processos individuais e empresariais.</w:t>
            </w:r>
          </w:p>
        </w:tc>
      </w:tr>
      <w:tr>
        <w:trPr>
          <w:trHeight w:hRule="atLeast"/>
        </w:trPr>
        <w:tc>
          <w:tcPr>
            <w:tcW w:type="dxa" w:w="18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DOCUMENTO</w:t>
            </w:r>
          </w:p>
        </w:tc>
        <w:tc>
          <w:tcPr>
            <w:tcW w:type="dxa" w:w="419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Requisito, Documento, Versão, Ficheiro e Snapshot</w:t>
            </w:r>
          </w:p>
        </w:tc>
        <w:tc>
          <w:tcPr>
            <w:tcW w:type="dxa" w:w="340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Preservar histórico, integridade e submissões.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NOTIFICACAO</w:t>
            </w:r>
          </w:p>
        </w:tc>
        <w:tc>
          <w:tcPr>
            <w:tcW w:type="dxa" w:w="41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Prazo, Tarefa e Notificação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Separar obrigação, cálculo temporal e comunicação.</w:t>
            </w:r>
          </w:p>
        </w:tc>
      </w:tr>
    </w:tbl>
    <w:p>
      <w:pPr>
        <w:spacing w:after="40"/>
      </w:pPr>
    </w:p>
    <w:p>
      <w:pPr>
        <w:pStyle w:val="Heading2"/>
      </w:pPr>
      <w:r>
        <w:t>3.3. Normalização</w:t>
      </w:r>
    </w:p>
    <w:p>
      <w:r>
        <w:t>A normalização até à 3.ª Forma Normal reduziu redundâncias e anomalias. Valores repetitivos passaram para entidades próprias, as relações muitos-para-muitos ganharam entidades de associação e os dados históricos passaram a usar versões e snapshots imutáveis.</w:t>
      </w:r>
    </w:p>
    <w:p>
      <w:pPr>
        <w:pStyle w:val="Heading1"/>
      </w:pPr>
      <w:r>
        <w:t>4. Modelo de dados definitivo</w:t>
      </w:r>
    </w:p>
    <w:p>
      <w:r>
        <w:t>O modelo final contém 38 entidades conceptuais e uma tabela técnica adicional, TentativaAutenticacao, usada no controlo de tentativas repetidas de login. O modelo abstrato ModeloTemporal fornece datas comuns, mas não cria uma tabela própria.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1955"/>
        <w:gridCol w:w="1737"/>
        <w:gridCol w:w="5719"/>
      </w:tblGrid>
      <w:tr>
        <w:trPr>
          <w:tblHeader w:val="true"/>
        </w:trPr>
        <w:tc>
          <w:tcPr>
            <w:tcW w:type="dxa" w:w="1955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  <w:tc>
          <w:tcPr>
            <w:tcW w:type="dxa" w:w="1737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Entidades persistentes</w:t>
            </w:r>
          </w:p>
        </w:tc>
        <w:tc>
          <w:tcPr>
            <w:tcW w:type="dxa" w:w="5719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Responsabilidade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contas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3</w:t>
            </w:r>
          </w:p>
        </w:tc>
        <w:tc>
          <w:tcPr>
            <w:tcW w:type="dxa" w:w="571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Identidade, perfil e proteção do login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organizacoes</w:t>
            </w:r>
          </w:p>
        </w:tc>
        <w:tc>
          <w:tcPr>
            <w:tcW w:type="dxa" w:w="1737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6</w:t>
            </w:r>
          </w:p>
        </w:tc>
        <w:tc>
          <w:tcPr>
            <w:tcW w:type="dxa" w:w="571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Empresas, acessos, vínculos, contas e formadoras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regras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4</w:t>
            </w:r>
          </w:p>
        </w:tc>
        <w:tc>
          <w:tcPr>
            <w:tcW w:type="dxa" w:w="571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Versões de regras, parâmetros, feriados e tipos documentais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formacoes</w:t>
            </w:r>
          </w:p>
        </w:tc>
        <w:tc>
          <w:tcPr>
            <w:tcW w:type="dxa" w:w="1737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2</w:t>
            </w:r>
          </w:p>
        </w:tc>
        <w:tc>
          <w:tcPr>
            <w:tcW w:type="dxa" w:w="571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Ações e componentes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candidaturas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5</w:t>
            </w:r>
          </w:p>
        </w:tc>
        <w:tc>
          <w:tcPr>
            <w:tcW w:type="dxa" w:w="571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Raiz do processo, beneficiários, participações e elegibilidade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documentos</w:t>
            </w:r>
          </w:p>
        </w:tc>
        <w:tc>
          <w:tcPr>
            <w:tcW w:type="dxa" w:w="1737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5</w:t>
            </w:r>
          </w:p>
        </w:tc>
        <w:tc>
          <w:tcPr>
            <w:tcW w:type="dxa" w:w="571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Ficheiros, requisitos, versões e snapshots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workflow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10</w:t>
            </w:r>
          </w:p>
        </w:tc>
        <w:tc>
          <w:tcPr>
            <w:tcW w:type="dxa" w:w="571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Transições, pedidos, termo, prazos, tarefas e avisos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financeiro</w:t>
            </w:r>
          </w:p>
        </w:tc>
        <w:tc>
          <w:tcPr>
            <w:tcW w:type="dxa" w:w="1737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3</w:t>
            </w:r>
          </w:p>
        </w:tc>
        <w:tc>
          <w:tcPr>
            <w:tcW w:type="dxa" w:w="571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Apoios, movimentos e restituições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auditoria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1</w:t>
            </w:r>
          </w:p>
        </w:tc>
        <w:tc>
          <w:tcPr>
            <w:tcW w:type="dxa" w:w="571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Registo imutável de operações sensíveis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Total</w:t>
            </w:r>
          </w:p>
        </w:tc>
        <w:tc>
          <w:tcPr>
            <w:tcW w:type="dxa" w:w="1737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39</w:t>
            </w:r>
          </w:p>
        </w:tc>
        <w:tc>
          <w:tcPr>
            <w:tcW w:type="dxa" w:w="571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38 entidades de negócio + 1 controlo técnico de segurança</w:t>
            </w:r>
          </w:p>
        </w:tc>
      </w:tr>
    </w:tbl>
    <w:p>
      <w:pPr>
        <w:spacing w:after="40"/>
      </w:pPr>
    </w:p>
    <w:p>
      <w:pPr>
        <w:pStyle w:val="Heading2"/>
      </w:pPr>
      <w:r>
        <w:t>4.1. Regras de integridade</w:t>
      </w:r>
    </w:p>
    <w:p>
      <w:pPr>
        <w:pStyle w:val="ListBullet"/>
        <w:spacing w:after="80" w:line="290" w:lineRule="auto"/>
      </w:pPr>
      <w:r>
        <w:t>Cada candidatura tem exatamente um titular: candidato ou empresa.</w:t>
      </w:r>
    </w:p>
    <w:p>
      <w:pPr>
        <w:pStyle w:val="ListBullet"/>
        <w:spacing w:after="80" w:line="290" w:lineRule="auto"/>
      </w:pPr>
      <w:r>
        <w:t>Uma candidatura individual tem um único beneficiário igual ao titular.</w:t>
      </w:r>
    </w:p>
    <w:p>
      <w:pPr>
        <w:pStyle w:val="ListBullet"/>
        <w:spacing w:after="80" w:line="290" w:lineRule="auto"/>
      </w:pPr>
      <w:r>
        <w:t>Existe no máximo uma versão documental corrente por documento.</w:t>
      </w:r>
    </w:p>
    <w:p>
      <w:pPr>
        <w:pStyle w:val="ListBullet"/>
        <w:spacing w:after="80" w:line="290" w:lineRule="auto"/>
      </w:pPr>
      <w:r>
        <w:t>Transições e snapshots mantêm o histórico efetivamente utilizado.</w:t>
      </w:r>
    </w:p>
    <w:p>
      <w:pPr>
        <w:pStyle w:val="ListBullet"/>
        <w:spacing w:after="80" w:line="290" w:lineRule="auto"/>
      </w:pPr>
      <w:r>
        <w:t>Montantes usam valores decimais; datas desconhecidas permanecem nulas.</w:t>
      </w:r>
    </w:p>
    <w:p>
      <w:pPr>
        <w:pStyle w:val="ListBullet"/>
        <w:spacing w:after="80" w:line="290" w:lineRule="auto"/>
      </w:pPr>
      <w:r>
        <w:t>Chaves de idempotência impedem duplicações em operações críticas.</w:t>
      </w:r>
    </w:p>
    <w:p>
      <w:r>
        <w:br w:type="page"/>
      </w:r>
    </w:p>
    <w:p>
      <w:pPr>
        <w:pStyle w:val="Heading1"/>
      </w:pPr>
      <w:r>
        <w:t>5. Arquitetura técnica</w:t>
      </w:r>
    </w:p>
    <w:p>
      <w:pPr>
        <w:pStyle w:val="Heading2"/>
      </w:pPr>
      <w:r>
        <w:t>5.1. Tecnologias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1810"/>
        <w:gridCol w:w="3475"/>
        <w:gridCol w:w="4126"/>
      </w:tblGrid>
      <w:tr>
        <w:trPr>
          <w:tblHeader w:val="true"/>
        </w:trPr>
        <w:tc>
          <w:tcPr>
            <w:tcW w:type="dxa" w:w="1810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475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126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Função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Backend</w:t>
            </w:r>
          </w:p>
        </w:tc>
        <w:tc>
          <w:tcPr>
            <w:tcW w:type="dxa" w:w="34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Python 3.12.13 / Django 5.2.17</w:t>
            </w:r>
          </w:p>
        </w:tc>
        <w:tc>
          <w:tcPr>
            <w:tcW w:type="dxa" w:w="41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Regras de negócio, páginas e autenticação</w:t>
            </w:r>
          </w:p>
        </w:tc>
      </w:tr>
      <w:tr>
        <w:trPr>
          <w:trHeight w:hRule="atLeast"/>
        </w:trPr>
        <w:tc>
          <w:tcPr>
            <w:tcW w:type="dxa" w:w="18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Persistência</w:t>
            </w:r>
          </w:p>
        </w:tc>
        <w:tc>
          <w:tcPr>
            <w:tcW w:type="dxa" w:w="347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PostgreSQL 17 / Django ORM</w:t>
            </w:r>
          </w:p>
        </w:tc>
        <w:tc>
          <w:tcPr>
            <w:tcW w:type="dxa" w:w="412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Restrições, transações e consultas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Interface</w:t>
            </w:r>
          </w:p>
        </w:tc>
        <w:tc>
          <w:tcPr>
            <w:tcW w:type="dxa" w:w="34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Django Templates, HTML e CSS</w:t>
            </w:r>
          </w:p>
        </w:tc>
        <w:tc>
          <w:tcPr>
            <w:tcW w:type="dxa" w:w="41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Interface renderizada no servidor</w:t>
            </w:r>
          </w:p>
        </w:tc>
      </w:tr>
      <w:tr>
        <w:trPr>
          <w:trHeight w:hRule="atLeast"/>
        </w:trPr>
        <w:tc>
          <w:tcPr>
            <w:tcW w:type="dxa" w:w="18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Publicação</w:t>
            </w:r>
          </w:p>
        </w:tc>
        <w:tc>
          <w:tcPr>
            <w:tcW w:type="dxa" w:w="347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Gunicorn, WhiteNoise e Docker</w:t>
            </w:r>
          </w:p>
        </w:tc>
        <w:tc>
          <w:tcPr>
            <w:tcW w:type="dxa" w:w="412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Execução reproduzível e ficheiros estáticos</w:t>
            </w:r>
          </w:p>
        </w:tc>
      </w:tr>
      <w:tr>
        <w:trPr>
          <w:trHeight w:hRule="atLeast"/>
        </w:trPr>
        <w:tc>
          <w:tcPr>
            <w:tcW w:type="dxa" w:w="1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Qualidade</w:t>
            </w:r>
          </w:p>
        </w:tc>
        <w:tc>
          <w:tcPr>
            <w:tcW w:type="dxa" w:w="34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Ruff, unittest e coverage</w:t>
            </w:r>
          </w:p>
        </w:tc>
        <w:tc>
          <w:tcPr>
            <w:tcW w:type="dxa" w:w="41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Análise estática, testes e cobertura</w:t>
            </w:r>
          </w:p>
        </w:tc>
      </w:tr>
      <w:tr>
        <w:trPr>
          <w:trHeight w:hRule="atLeast"/>
        </w:trPr>
        <w:tc>
          <w:tcPr>
            <w:tcW w:type="dxa" w:w="18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Proteção</w:t>
            </w:r>
          </w:p>
        </w:tc>
        <w:tc>
          <w:tcPr>
            <w:tcW w:type="dxa" w:w="347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Fernet, hashes e headers HTTP</w:t>
            </w:r>
          </w:p>
        </w:tc>
        <w:tc>
          <w:tcPr>
            <w:tcW w:type="dxa" w:w="412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Dados sensíveis, integridade e navegação segura</w:t>
            </w:r>
          </w:p>
        </w:tc>
      </w:tr>
    </w:tbl>
    <w:p>
      <w:pPr>
        <w:spacing w:after="40"/>
      </w:pPr>
    </w:p>
    <w:p>
      <w:pPr>
        <w:pStyle w:val="Heading2"/>
      </w:pPr>
      <w:r>
        <w:t>5.2. Monólito modular</w:t>
      </w:r>
    </w:p>
    <w:p>
      <w:r>
        <w:t>Foi escolhida uma única aplicação Django com módulos de negócio separados. Esta opção reduz a complexidade da instalação escolar e mantém fronteiras claras entre identidade, organizações, regras, candidaturas, documentos, workflow, finanças e auditoria.</w:t>
      </w:r>
    </w:p>
    <w:p>
      <w:pPr>
        <w:pStyle w:val="Heading2"/>
      </w:pPr>
      <w:r>
        <w:t>5.3. Camadas</w:t>
      </w:r>
    </w:p>
    <w:p>
      <w:pPr>
        <w:pStyle w:val="ListNumber"/>
        <w:numPr>
          <w:numId w:val="10"/>
        </w:numPr>
        <w:spacing w:after="80" w:line="290" w:lineRule="auto"/>
      </w:pPr>
      <w:r>
        <w:t>As views recebem o pedido HTTP e escolhem a resposta.</w:t>
      </w:r>
    </w:p>
    <w:p>
      <w:pPr>
        <w:pStyle w:val="ListNumber"/>
        <w:numPr>
          <w:numId w:val="10"/>
        </w:numPr>
        <w:spacing w:after="80" w:line="290" w:lineRule="auto"/>
      </w:pPr>
      <w:r>
        <w:t>Os formulários validam a forma dos dados apresentados.</w:t>
      </w:r>
    </w:p>
    <w:p>
      <w:pPr>
        <w:pStyle w:val="ListNumber"/>
        <w:numPr>
          <w:numId w:val="10"/>
        </w:numPr>
        <w:spacing w:after="80" w:line="290" w:lineRule="auto"/>
      </w:pPr>
      <w:r>
        <w:t>Os serviços verificam permissões e executam a transação de negócio.</w:t>
      </w:r>
    </w:p>
    <w:p>
      <w:pPr>
        <w:pStyle w:val="ListNumber"/>
        <w:numPr>
          <w:numId w:val="10"/>
        </w:numPr>
        <w:spacing w:after="80" w:line="290" w:lineRule="auto"/>
      </w:pPr>
      <w:r>
        <w:t>Os seletores constroem leituras filtradas e otimizadas.</w:t>
      </w:r>
    </w:p>
    <w:p>
      <w:pPr>
        <w:pStyle w:val="ListNumber"/>
        <w:numPr>
          <w:numId w:val="10"/>
        </w:numPr>
        <w:spacing w:after="80" w:line="290" w:lineRule="auto"/>
      </w:pPr>
      <w:r>
        <w:t>Os modelos e o ORM preservam restrições e persistência.</w:t>
      </w:r>
    </w:p>
    <w:p>
      <w:pPr>
        <w:pStyle w:val="Heading2"/>
      </w:pPr>
      <w:r>
        <w:t>5.4. Consistência</w:t>
      </w:r>
    </w:p>
    <w:p>
      <w:r>
        <w:t>As escritas importantes usam transações atómicas. A candidatura possui um número de versão para detetar edições concorrentes, enquanto as operações críticas bloqueiam apenas a linha principal necessária. Esta última decisão foi confirmada em PostgreSQL 17, evitando o bloqueio indevido de relações opcionais.</w:t>
      </w:r>
    </w:p>
    <w:p>
      <w:pPr>
        <w:pStyle w:val="Heading1"/>
      </w:pPr>
      <w:r>
        <w:t>6. Funcionalidades implementadas</w:t>
      </w:r>
    </w:p>
    <w:p>
      <w:pPr>
        <w:pStyle w:val="Heading2"/>
      </w:pPr>
      <w:r>
        <w:t>6.1. Identidade e organizações</w:t>
      </w:r>
    </w:p>
    <w:p>
      <w:pPr>
        <w:pStyle w:val="ListBullet"/>
        <w:spacing w:after="80" w:line="290" w:lineRule="auto"/>
      </w:pPr>
      <w:r>
        <w:t>Registo, ativação, recuperação e autenticação por email.</w:t>
      </w:r>
    </w:p>
    <w:p>
      <w:pPr>
        <w:pStyle w:val="ListBullet"/>
        <w:spacing w:after="80" w:line="290" w:lineRule="auto"/>
      </w:pPr>
      <w:r>
        <w:t>Perfis, grupos e permissões combinados com âmbito por empresa.</w:t>
      </w:r>
    </w:p>
    <w:p>
      <w:pPr>
        <w:pStyle w:val="ListBullet"/>
        <w:spacing w:after="80" w:line="290" w:lineRule="auto"/>
      </w:pPr>
      <w:r>
        <w:t>Empresas, associações, vínculos, contas mascaradas e entidades formadoras.</w:t>
      </w:r>
    </w:p>
    <w:p>
      <w:pPr>
        <w:pStyle w:val="Heading2"/>
      </w:pPr>
      <w:r>
        <w:t>6.2. Regras, formação e candidatura</w:t>
      </w:r>
    </w:p>
    <w:p>
      <w:pPr>
        <w:pStyle w:val="ListBullet"/>
        <w:spacing w:after="80" w:line="290" w:lineRule="auto"/>
      </w:pPr>
      <w:r>
        <w:t>Versões imutáveis de regras, parâmetros, feriados e tipos documentais.</w:t>
      </w:r>
    </w:p>
    <w:p>
      <w:pPr>
        <w:pStyle w:val="ListBullet"/>
        <w:spacing w:after="80" w:line="290" w:lineRule="auto"/>
      </w:pPr>
      <w:r>
        <w:t>Ações com componentes, horas e tipologia derivada.</w:t>
      </w:r>
    </w:p>
    <w:p>
      <w:pPr>
        <w:pStyle w:val="ListBullet"/>
        <w:spacing w:after="80" w:line="290" w:lineRule="auto"/>
      </w:pPr>
      <w:r>
        <w:t>Assistente de preparação para candidatura individual ou empresarial.</w:t>
      </w:r>
    </w:p>
    <w:p>
      <w:pPr>
        <w:pStyle w:val="ListBullet"/>
        <w:spacing w:after="80" w:line="290" w:lineRule="auto"/>
      </w:pPr>
      <w:r>
        <w:t>Verificações de elegibilidade e limite configurável de beneficiários.</w:t>
      </w:r>
    </w:p>
    <w:p>
      <w:pPr>
        <w:pStyle w:val="Heading2"/>
      </w:pPr>
      <w:r>
        <w:t>6.3. Documentos</w:t>
      </w:r>
    </w:p>
    <w:p>
      <w:pPr>
        <w:pStyle w:val="ListBullet"/>
        <w:spacing w:after="80" w:line="290" w:lineRule="auto"/>
      </w:pPr>
      <w:r>
        <w:t>Checklist dinâmica por fase, beneficiário e participação.</w:t>
      </w:r>
    </w:p>
    <w:p>
      <w:pPr>
        <w:pStyle w:val="ListBullet"/>
        <w:spacing w:after="80" w:line="290" w:lineRule="auto"/>
      </w:pPr>
      <w:r>
        <w:t>Apenas PDFs válidos, dentro do limite configurado, satisfazem requisitos.</w:t>
      </w:r>
    </w:p>
    <w:p>
      <w:pPr>
        <w:pStyle w:val="ListBullet"/>
        <w:spacing w:after="80" w:line="290" w:lineRule="auto"/>
      </w:pPr>
      <w:r>
        <w:t>Substituição cria uma nova versão sem perder a anterior.</w:t>
      </w:r>
    </w:p>
    <w:p>
      <w:pPr>
        <w:pStyle w:val="ListBullet"/>
        <w:spacing w:after="80" w:line="290" w:lineRule="auto"/>
      </w:pPr>
      <w:r>
        <w:t>Downloads privados repetem a autorização e ficam auditados.</w:t>
      </w:r>
    </w:p>
    <w:p>
      <w:pPr>
        <w:pStyle w:val="ListBullet"/>
        <w:spacing w:after="80" w:line="290" w:lineRule="auto"/>
      </w:pPr>
      <w:r>
        <w:t>Snapshots preservam os documentos usados em cada submissão.</w:t>
      </w:r>
    </w:p>
    <w:p>
      <w:pPr>
        <w:pStyle w:val="Heading2"/>
      </w:pPr>
      <w:r>
        <w:t>6.4. Workflow completo</w:t>
      </w:r>
    </w:p>
    <w:p>
      <w:r>
        <w:t>A máquina de estados implementa TR-001 a TR-023. Abrange preparação, submissão, análise, pedido de elementos, suspensão e retoma de prazo, decisão por beneficiário, termo de aceitação, acompanhamento da formação, encerramento, revogação e correção administrativa.</w:t>
      </w:r>
    </w:p>
    <w:p>
      <w:pPr>
        <w:pStyle w:val="Heading2"/>
      </w:pPr>
      <w:r>
        <w:t>6.5. Financeiro e apoio à decisão</w:t>
      </w:r>
    </w:p>
    <w:p>
      <w:pPr>
        <w:pStyle w:val="ListBullet"/>
        <w:spacing w:after="80" w:line="290" w:lineRule="auto"/>
      </w:pPr>
      <w:r>
        <w:t>Estimativas identificadas separadamente dos montantes oficiais.</w:t>
      </w:r>
    </w:p>
    <w:p>
      <w:pPr>
        <w:pStyle w:val="ListBullet"/>
        <w:spacing w:after="80" w:line="290" w:lineRule="auto"/>
      </w:pPr>
      <w:r>
        <w:t>Movimentos previstos e efetivos com chaves de idempotência.</w:t>
      </w:r>
    </w:p>
    <w:p>
      <w:pPr>
        <w:pStyle w:val="ListBullet"/>
        <w:spacing w:after="80" w:line="290" w:lineRule="auto"/>
      </w:pPr>
      <w:r>
        <w:t>Restituições apenas após registo de uma decisão oficial.</w:t>
      </w:r>
    </w:p>
    <w:p>
      <w:pPr>
        <w:pStyle w:val="ListBullet"/>
        <w:spacing w:after="80" w:line="290" w:lineRule="auto"/>
      </w:pPr>
      <w:r>
        <w:t>Painel por perfil, alertas, filtros, próxima ação e exportação CSV mínima.</w:t>
      </w:r>
    </w:p>
    <w:p>
      <w:pPr>
        <w:pStyle w:val="Heading1"/>
      </w:pPr>
      <w:r>
        <w:t>7. Segurança, privacidade e fiabilidade</w:t>
      </w:r>
    </w:p>
    <w:p>
      <w:pPr>
        <w:pStyle w:val="ListBullet"/>
        <w:spacing w:after="80" w:line="290" w:lineRule="auto"/>
      </w:pPr>
      <w:r>
        <w:t>Proteção CSRF, cookies seguros em produção e política de segurança de conteúdo.</w:t>
      </w:r>
    </w:p>
    <w:p>
      <w:pPr>
        <w:pStyle w:val="ListBullet"/>
        <w:spacing w:after="80" w:line="290" w:lineRule="auto"/>
      </w:pPr>
      <w:r>
        <w:t>Bloqueio temporário após cinco falhas de autenticação sem revelar se a conta existe.</w:t>
      </w:r>
    </w:p>
    <w:p>
      <w:pPr>
        <w:pStyle w:val="ListBullet"/>
        <w:spacing w:after="80" w:line="290" w:lineRule="auto"/>
      </w:pPr>
      <w:r>
        <w:t>NIF, IBAN e documentos não aparecem em URLs ou logs técnicos.</w:t>
      </w:r>
    </w:p>
    <w:p>
      <w:pPr>
        <w:pStyle w:val="ListBullet"/>
        <w:spacing w:after="80" w:line="290" w:lineRule="auto"/>
      </w:pPr>
      <w:r>
        <w:t>IBAN cifrado e apresentado apenas de forma mascarada.</w:t>
      </w:r>
    </w:p>
    <w:p>
      <w:pPr>
        <w:pStyle w:val="ListBullet"/>
        <w:spacing w:after="80" w:line="290" w:lineRule="auto"/>
      </w:pPr>
      <w:r>
        <w:t>Uploads privados com nome aleatório, hash e controlo de acesso por download.</w:t>
      </w:r>
    </w:p>
    <w:p>
      <w:pPr>
        <w:pStyle w:val="ListBullet"/>
        <w:spacing w:after="80" w:line="290" w:lineRule="auto"/>
      </w:pPr>
      <w:r>
        <w:t>Histórico imutável para transições, snapshots e auditoria sensível.</w:t>
      </w:r>
    </w:p>
    <w:p>
      <w:pPr>
        <w:pStyle w:val="ListBullet"/>
        <w:spacing w:after="80" w:line="290" w:lineRule="auto"/>
      </w:pPr>
      <w:r>
        <w:t>Backup conjunto da base PostgreSQL e uploads, cifrado e validado por manifesto.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color="EAF5FB"/>
          <w:left w:val="single" w:sz="4" w:color="EAF5FB"/>
          <w:bottom w:val="single" w:sz="4" w:color="EAF5FB"/>
          <w:right w:val="single" w:sz="4" w:color="EAF5FB"/>
          <w:insideH w:val="single" w:sz="4" w:color="EAF5FB"/>
          <w:insideV w:val="single" w:sz="4" w:color="EAF5FB"/>
        </w:tblBorders>
      </w:tblPr>
      <w:tblGrid>
        <w:gridCol w:w="9411"/>
      </w:tblGrid>
      <w:tr>
        <w:trPr/>
        <w:tc>
          <w:tcPr>
            <w:tcW w:type="dxa" w:w="9411"/>
            <w:shd w:fill="EAF5FB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6324F"/>
                <w:sz w:val="21"/>
              </w:rPr>
              <w:t>Princípio de autorização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72033"/>
                <w:sz w:val="20"/>
              </w:rPr>
              <w:t>Uma permissão global não basta: cada operação também verifica o âmbito do objeto e o estado atual da candidatura. Objetos fora do âmbito são tratados sem confirmar a sua existência.</w:t>
            </w:r>
          </w:p>
        </w:tc>
      </w:tr>
    </w:tbl>
    <w:p>
      <w:pPr>
        <w:spacing w:after="40"/>
      </w:pPr>
    </w:p>
    <w:p>
      <w:pPr>
        <w:pStyle w:val="Heading1"/>
      </w:pPr>
      <w:r>
        <w:t>8. Testes e validação</w:t>
      </w:r>
    </w:p>
    <w:p>
      <w:r>
        <w:t>A validação combinou testes locais rápidos com uma integração completa em PostgreSQL 17 no GitHub Actions. O cenário de demonstração é carregado duas vezes para provar idempotência antes de executar alertas, backup, restauro e compilação da imagem.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2896"/>
        <w:gridCol w:w="2099"/>
        <w:gridCol w:w="4416"/>
      </w:tblGrid>
      <w:tr>
        <w:trPr>
          <w:tblHeader w:val="true"/>
        </w:trPr>
        <w:tc>
          <w:tcPr>
            <w:tcW w:type="dxa" w:w="2896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2099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4416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Evidência</w:t>
            </w:r>
          </w:p>
        </w:tc>
      </w:tr>
      <w:tr>
        <w:trPr>
          <w:trHeight w:hRule="atLeast"/>
        </w:trPr>
        <w:tc>
          <w:tcPr>
            <w:tcW w:type="dxa" w:w="28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Suíte Django</w:t>
            </w:r>
          </w:p>
        </w:tc>
        <w:tc>
          <w:tcPr>
            <w:tcW w:type="dxa" w:w="20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199 testes passaram</w:t>
            </w:r>
          </w:p>
        </w:tc>
        <w:tc>
          <w:tcPr>
            <w:tcW w:type="dxa" w:w="4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Casos positivos, negativos e permissões</w:t>
            </w:r>
          </w:p>
        </w:tc>
      </w:tr>
      <w:tr>
        <w:trPr>
          <w:trHeight w:hRule="atLeast"/>
        </w:trPr>
        <w:tc>
          <w:tcPr>
            <w:tcW w:type="dxa" w:w="289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Cobertura</w:t>
            </w:r>
          </w:p>
        </w:tc>
        <w:tc>
          <w:tcPr>
            <w:tcW w:type="dxa" w:w="209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84,4%</w:t>
            </w:r>
          </w:p>
        </w:tc>
        <w:tc>
          <w:tcPr>
            <w:tcW w:type="dxa" w:w="441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Acima do mínimo de 80%</w:t>
            </w:r>
          </w:p>
        </w:tc>
      </w:tr>
      <w:tr>
        <w:trPr>
          <w:trHeight w:hRule="atLeast"/>
        </w:trPr>
        <w:tc>
          <w:tcPr>
            <w:tcW w:type="dxa" w:w="28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Backup</w:t>
            </w:r>
          </w:p>
        </w:tc>
        <w:tc>
          <w:tcPr>
            <w:tcW w:type="dxa" w:w="20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5 testes passaram</w:t>
            </w:r>
          </w:p>
        </w:tc>
        <w:tc>
          <w:tcPr>
            <w:tcW w:type="dxa" w:w="4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Cifragem, manifesto, integridade e falhas</w:t>
            </w:r>
          </w:p>
        </w:tc>
      </w:tr>
      <w:tr>
        <w:trPr>
          <w:trHeight w:hRule="atLeast"/>
        </w:trPr>
        <w:tc>
          <w:tcPr>
            <w:tcW w:type="dxa" w:w="289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Instalação limpa</w:t>
            </w:r>
          </w:p>
        </w:tc>
        <w:tc>
          <w:tcPr>
            <w:tcW w:type="dxa" w:w="209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Passou</w:t>
            </w:r>
          </w:p>
        </w:tc>
        <w:tc>
          <w:tcPr>
            <w:tcW w:type="dxa" w:w="441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Migrações e cenário em pasta temporária</w:t>
            </w:r>
          </w:p>
        </w:tc>
      </w:tr>
      <w:tr>
        <w:trPr>
          <w:trHeight w:hRule="atLeast"/>
        </w:trPr>
        <w:tc>
          <w:tcPr>
            <w:tcW w:type="dxa" w:w="28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PostgreSQL 17</w:t>
            </w:r>
          </w:p>
        </w:tc>
        <w:tc>
          <w:tcPr>
            <w:tcW w:type="dxa" w:w="20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Passou</w:t>
            </w:r>
          </w:p>
        </w:tc>
        <w:tc>
          <w:tcPr>
            <w:tcW w:type="dxa" w:w="4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Cenário, testes e bloqueios transacionais</w:t>
            </w:r>
          </w:p>
        </w:tc>
      </w:tr>
      <w:tr>
        <w:trPr>
          <w:trHeight w:hRule="atLeast"/>
        </w:trPr>
        <w:tc>
          <w:tcPr>
            <w:tcW w:type="dxa" w:w="289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Restauro isolado</w:t>
            </w:r>
          </w:p>
        </w:tc>
        <w:tc>
          <w:tcPr>
            <w:tcW w:type="dxa" w:w="209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Passou</w:t>
            </w:r>
          </w:p>
        </w:tc>
        <w:tc>
          <w:tcPr>
            <w:tcW w:type="dxa" w:w="4416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Base secundária e ficheiro comparado</w:t>
            </w:r>
          </w:p>
        </w:tc>
      </w:tr>
      <w:tr>
        <w:trPr>
          <w:trHeight w:hRule="atLeast"/>
        </w:trPr>
        <w:tc>
          <w:tcPr>
            <w:tcW w:type="dxa" w:w="28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Docker</w:t>
            </w:r>
          </w:p>
        </w:tc>
        <w:tc>
          <w:tcPr>
            <w:tcW w:type="dxa" w:w="20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Passou</w:t>
            </w:r>
          </w:p>
        </w:tc>
        <w:tc>
          <w:tcPr>
            <w:tcW w:type="dxa" w:w="4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Imagem de publicação construída no CI</w:t>
            </w:r>
          </w:p>
        </w:tc>
      </w:tr>
    </w:tbl>
    <w:p>
      <w:pPr>
        <w:spacing w:after="40"/>
      </w:pPr>
    </w:p>
    <w:p>
      <w:r>
        <w:t>A execução pública 33799105775 terminou com sucesso. Uma execução posterior, acionada apenas pela atualização documental, repetiu todos os passos com o mesmo resultado verde.</w:t>
      </w:r>
    </w:p>
    <w:p>
      <w:r>
        <w:br w:type="page"/>
      </w:r>
    </w:p>
    <w:p>
      <w:pPr>
        <w:pStyle w:val="Heading1"/>
      </w:pPr>
      <w:r>
        <w:t>9. Demonstração da PAP</w:t>
      </w:r>
    </w:p>
    <w:p>
      <w:pPr>
        <w:pStyle w:val="Heading2"/>
      </w:pPr>
      <w:r>
        <w:t>9.1. Preparação</w:t>
      </w:r>
    </w:p>
    <w:p>
      <w:pPr>
        <w:pStyle w:val="ListNumber"/>
        <w:numPr>
          <w:numId w:val="11"/>
        </w:numPr>
        <w:spacing w:after="80" w:line="290" w:lineRule="auto"/>
      </w:pPr>
      <w:r>
        <w:t>Executar as migrações e carregar o cenário de demonstração com uma palavra-passe temporária.</w:t>
      </w:r>
    </w:p>
    <w:p>
      <w:pPr>
        <w:pStyle w:val="ListNumber"/>
        <w:numPr>
          <w:numId w:val="11"/>
        </w:numPr>
        <w:spacing w:after="80" w:line="290" w:lineRule="auto"/>
      </w:pPr>
      <w:r>
        <w:t>Confirmar a página /health/ e as referências DEMO-IND-001 e DEMO-EMP-001.</w:t>
      </w:r>
    </w:p>
    <w:p>
      <w:pPr>
        <w:pStyle w:val="ListNumber"/>
        <w:numPr>
          <w:numId w:val="11"/>
        </w:numPr>
        <w:spacing w:after="80" w:line="290" w:lineRule="auto"/>
      </w:pPr>
      <w:r>
        <w:t>Manter disponíveis os quatro perfis fictícios e uma cópia de segurança validada.</w:t>
      </w:r>
    </w:p>
    <w:p>
      <w:pPr>
        <w:pStyle w:val="Heading2"/>
      </w:pPr>
      <w:r>
        <w:t>9.2. Cenários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1955"/>
        <w:gridCol w:w="3692"/>
        <w:gridCol w:w="3764"/>
      </w:tblGrid>
      <w:tr>
        <w:trPr>
          <w:tblHeader w:val="true"/>
        </w:trPr>
        <w:tc>
          <w:tcPr>
            <w:tcW w:type="dxa" w:w="1955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692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Percurso</w:t>
            </w:r>
          </w:p>
        </w:tc>
        <w:tc>
          <w:tcPr>
            <w:tcW w:type="dxa" w:w="3764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Evidência principal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Individual</w:t>
            </w:r>
          </w:p>
        </w:tc>
        <w:tc>
          <w:tcPr>
            <w:tcW w:type="dxa" w:w="36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Candidatura favorável até ao encerramento</w:t>
            </w:r>
          </w:p>
        </w:tc>
        <w:tc>
          <w:tcPr>
            <w:tcW w:type="dxa" w:w="37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Documentos, termo, pagamentos e conclusão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Empresarial</w:t>
            </w:r>
          </w:p>
        </w:tc>
        <w:tc>
          <w:tcPr>
            <w:tcW w:type="dxa" w:w="369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Decisão parcial e processo encerrado</w:t>
            </w:r>
          </w:p>
        </w:tc>
        <w:tc>
          <w:tcPr>
            <w:tcW w:type="dxa" w:w="3764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Vários beneficiários, suspensão e resultado global</w:t>
            </w:r>
          </w:p>
        </w:tc>
      </w:tr>
      <w:tr>
        <w:trPr>
          <w:trHeight w:hRule="atLeast"/>
        </w:trPr>
        <w:tc>
          <w:tcPr>
            <w:tcW w:type="dxa" w:w="195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Prazo urgente</w:t>
            </w:r>
          </w:p>
        </w:tc>
        <w:tc>
          <w:tcPr>
            <w:tcW w:type="dxa" w:w="36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Execução repetida do comando de alertas</w:t>
            </w:r>
          </w:p>
        </w:tc>
        <w:tc>
          <w:tcPr>
            <w:tcW w:type="dxa" w:w="37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Aviso criado uma vez sem duplicação</w:t>
            </w:r>
          </w:p>
        </w:tc>
      </w:tr>
      <w:tr>
        <w:trPr>
          <w:trHeight w:hRule="atLeast"/>
        </w:trPr>
        <w:tc>
          <w:tcPr>
            <w:tcW w:type="dxa" w:w="1955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Acesso negado</w:t>
            </w:r>
          </w:p>
        </w:tc>
        <w:tc>
          <w:tcPr>
            <w:tcW w:type="dxa" w:w="369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Abertura direta de objeto fora do âmbito</w:t>
            </w:r>
          </w:p>
        </w:tc>
        <w:tc>
          <w:tcPr>
            <w:tcW w:type="dxa" w:w="3764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Isolamento de dados por perfil e empresa</w:t>
            </w:r>
          </w:p>
        </w:tc>
      </w:tr>
    </w:tbl>
    <w:p>
      <w:pPr>
        <w:spacing w:after="40"/>
      </w:pPr>
    </w:p>
    <w:p>
      <w:pPr>
        <w:pStyle w:val="Heading2"/>
      </w:pPr>
      <w:r>
        <w:t>9.3. Percurso sugerido de dez minutos</w:t>
      </w:r>
    </w:p>
    <w:p>
      <w:pPr>
        <w:pStyle w:val="ListNumber"/>
        <w:numPr>
          <w:numId w:val="12"/>
        </w:numPr>
        <w:spacing w:after="80" w:line="290" w:lineRule="auto"/>
      </w:pPr>
      <w:r>
        <w:t>Entrar como candidato e mostrar o painel, a checklist e o aviso de prazo.</w:t>
      </w:r>
    </w:p>
    <w:p>
      <w:pPr>
        <w:pStyle w:val="ListNumber"/>
        <w:numPr>
          <w:numId w:val="12"/>
        </w:numPr>
        <w:spacing w:after="80" w:line="290" w:lineRule="auto"/>
      </w:pPr>
      <w:r>
        <w:t>Entrar como gestor e abrir a candidatura empresarial e os beneficiários.</w:t>
      </w:r>
    </w:p>
    <w:p>
      <w:pPr>
        <w:pStyle w:val="ListNumber"/>
        <w:numPr>
          <w:numId w:val="12"/>
        </w:numPr>
        <w:spacing w:after="80" w:line="290" w:lineRule="auto"/>
      </w:pPr>
      <w:r>
        <w:t>Mostrar o histórico imutável, o pedido de elementos e a suspensão de prazo.</w:t>
      </w:r>
    </w:p>
    <w:p>
      <w:pPr>
        <w:pStyle w:val="ListNumber"/>
        <w:numPr>
          <w:numId w:val="12"/>
        </w:numPr>
        <w:spacing w:after="80" w:line="290" w:lineRule="auto"/>
      </w:pPr>
      <w:r>
        <w:t>Apresentar decisão, termo, encerramento e separação dos dados financeiros.</w:t>
      </w:r>
    </w:p>
    <w:p>
      <w:pPr>
        <w:pStyle w:val="ListNumber"/>
        <w:numPr>
          <w:numId w:val="12"/>
        </w:numPr>
        <w:spacing w:after="80" w:line="290" w:lineRule="auto"/>
      </w:pPr>
      <w:r>
        <w:t>Repetir os alertas e terminar com a validação automática e o backup.</w:t>
      </w:r>
    </w:p>
    <w:p>
      <w:pPr>
        <w:pStyle w:val="Heading1"/>
      </w:pPr>
      <w:r>
        <w:t>10. Instalação, publicação e recuperação</w:t>
      </w:r>
    </w:p>
    <w:p>
      <w:pPr>
        <w:pStyle w:val="Heading2"/>
      </w:pPr>
      <w:r>
        <w:t>10.1. Instalação</w:t>
      </w:r>
    </w:p>
    <w:p>
      <w:r>
        <w:t>O repositório inclui dependências fixadas, configurações separadas para ambiente local, testes e produção, exemplo de variáveis de ambiente, migrações e comandos de dados. O modo SQLite serve apenas para demonstração rápida; PostgreSQL é o comportamento de referência.</w:t>
      </w:r>
    </w:p>
    <w:p>
      <w:pPr>
        <w:pStyle w:val="Heading2"/>
      </w:pPr>
      <w:r>
        <w:t>10.2. Publicação</w:t>
      </w:r>
    </w:p>
    <w:p>
      <w:r>
        <w:t>A imagem Docker usa Gunicorn para servir a aplicação e WhiteNoise para os ficheiros estáticos. A configuração de produção exige segredos próprios, HTTPS, hosts autorizados e chaves independentes para cifragem e hash. Não foi criado alojamento público porque essa decisão implica exposição e eventual custo.</w:t>
      </w:r>
    </w:p>
    <w:p>
      <w:pPr>
        <w:pStyle w:val="Heading2"/>
      </w:pPr>
      <w:r>
        <w:t>10.3. Recuperação</w:t>
      </w:r>
    </w:p>
    <w:p>
      <w:r>
        <w:t>O procedimento de backup reúne o dump da base e os uploads privados, calcula um manifesto de integridade e cifra o pacote. O restauro é feito primeiro numa base isolada, onde são confirmadas as candidaturas de demonstração e a correspondência dos ficheiros.</w:t>
      </w:r>
    </w:p>
    <w:p>
      <w:pPr>
        <w:pStyle w:val="Heading1"/>
      </w:pPr>
      <w:r>
        <w:t>11. Limitações e evolução futura</w:t>
      </w:r>
    </w:p>
    <w:p>
      <w:pPr>
        <w:pStyle w:val="ListBullet"/>
        <w:spacing w:after="80" w:line="290" w:lineRule="auto"/>
      </w:pPr>
      <w:r>
        <w:t>Realizar testes de usabilidade acompanhados por utilizadores representativos.</w:t>
      </w:r>
    </w:p>
    <w:p>
      <w:pPr>
        <w:pStyle w:val="ListBullet"/>
        <w:spacing w:after="80" w:line="290" w:lineRule="auto"/>
      </w:pPr>
      <w:r>
        <w:t>Definir política legal de retenção antes de usar dados pessoais reais.</w:t>
      </w:r>
    </w:p>
    <w:p>
      <w:pPr>
        <w:pStyle w:val="ListBullet"/>
        <w:spacing w:after="80" w:line="290" w:lineRule="auto"/>
      </w:pPr>
      <w:r>
        <w:t>Configurar email real apenas com credenciais e consentimentos aprovados.</w:t>
      </w:r>
    </w:p>
    <w:p>
      <w:pPr>
        <w:pStyle w:val="ListBullet"/>
        <w:spacing w:after="80" w:line="290" w:lineRule="auto"/>
      </w:pPr>
      <w:r>
        <w:t>Publicar num domínio HTTPS depois de existir autorização e infraestrutura.</w:t>
      </w:r>
    </w:p>
    <w:p>
      <w:pPr>
        <w:pStyle w:val="ListBullet"/>
        <w:spacing w:after="80" w:line="290" w:lineRule="auto"/>
      </w:pPr>
      <w:r>
        <w:t>Avaliar integrações oficiais somente se forem disponibilizadas interfaces autorizadas.</w:t>
      </w:r>
    </w:p>
    <w:p>
      <w:pPr>
        <w:pStyle w:val="ListBullet"/>
        <w:spacing w:after="80" w:line="290" w:lineRule="auto"/>
      </w:pPr>
      <w:r>
        <w:t>Medir desempenho com volume de dados realista antes de introduzir filas ou cache.</w:t>
      </w:r>
    </w:p>
    <w:p>
      <w:pPr>
        <w:pStyle w:val="Heading1"/>
      </w:pPr>
      <w:r>
        <w:t>12. Conclusão</w:t>
      </w:r>
    </w:p>
    <w:p>
      <w:r>
        <w:t>O Forma Flow evoluiu de um modelo conceptual simples para uma aplicação web funcional. A solução cobre o ciclo administrativo completo, protege documentos e dados sensíveis, orienta os utilizadores por perfil e mantém rastreabilidade sobre estados, prazos e valores.</w:t>
      </w:r>
    </w:p>
    <w:p>
      <w:r>
        <w:t>O resultado responde ao problema inicial de dispersão da informação sem se apresentar como substituto do portal oficial. O desenvolvimento por incrementos, acompanhado por testes e commits, permitiu manter o projeto executável e verificar as decisões em SQLite e PostgreSQL.</w:t>
      </w:r>
    </w:p>
    <w:p>
      <w:pPr>
        <w:pStyle w:val="Heading1"/>
      </w:pPr>
      <w:r>
        <w:t>13. Reflexão pessoal</w:t>
      </w:r>
    </w:p>
    <w:p>
      <w:r>
        <w:t>Este projeto permitiu-me compreender que a modelação não é apenas uma fase teórica. As decisões tomadas nos diagramas influenciaram diretamente as migrações, as restrições, as permissões e a forma como cada funcionalidade foi testada.</w:t>
      </w:r>
    </w:p>
    <w:p>
      <w:r>
        <w:t>A maior evolução ocorreu na passagem das seis tabelas iniciais para um modelo capaz de representar várias empresas, beneficiários, versões documentais, transições e movimentos financeiros sem misturar responsabilidades. Percebi também a importância de separar uma estimativa calculada pelo sistema de uma decisão introduzida por uma entidade externa.</w:t>
      </w:r>
    </w:p>
    <w:p>
      <w:r>
        <w:t>As dificuldades com concorrência, permissões e comportamento diferente entre SQLite e PostgreSQL mostraram-me o valor dos testes de integração. A correção final dos bloqueios transacionais confirmou que um projeto pode funcionar localmente e ainda precisar de ser verificado no ambiente de destino.</w:t>
      </w:r>
    </w:p>
    <w:p>
      <w:r>
        <w:t>Considero que o Forma Flow demonstra uma aprendizagem técnica e metodológica: analisar um problema, limitar o âmbito, modelar, implementar, testar, documentar e preparar uma demonstração reproduzível.</w:t>
      </w:r>
    </w:p>
    <w:p>
      <w:pPr>
        <w:pStyle w:val="Heading1"/>
        <w:pageBreakBefore/>
      </w:pPr>
      <w:r>
        <w:t>Anexo A. Endereços principais</w:t>
      </w:r>
    </w:p>
    <w:tbl>
      <w:tblPr>
        <w:tblStyle w:val="TableGrid"/>
        <w:tblW w:type="dxa" w:w="941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E2EC"/>
          <w:left w:val="single" w:sz="6" w:color="D9E2EC"/>
          <w:bottom w:val="single" w:sz="6" w:color="D9E2EC"/>
          <w:right w:val="single" w:sz="6" w:color="D9E2EC"/>
          <w:insideH w:val="single" w:sz="6" w:color="D9E2EC"/>
          <w:insideV w:val="single" w:sz="6" w:color="D9E2EC"/>
        </w:tblBorders>
      </w:tblPr>
      <w:tblGrid>
        <w:gridCol w:w="3982"/>
        <w:gridCol w:w="5429"/>
      </w:tblGrid>
      <w:tr>
        <w:trPr>
          <w:tblHeader w:val="true"/>
        </w:trPr>
        <w:tc>
          <w:tcPr>
            <w:tcW w:type="dxa" w:w="3982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5429"/>
            <w:shd w:fill="16324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Finalidade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Página inicial</w:t>
            </w:r>
          </w:p>
        </w:tc>
      </w:tr>
      <w:tr>
        <w:trPr>
          <w:trHeight w:hRule="atLeast"/>
        </w:trPr>
        <w:tc>
          <w:tcPr>
            <w:tcW w:type="dxa" w:w="398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/health/</w:t>
            </w:r>
          </w:p>
        </w:tc>
        <w:tc>
          <w:tcPr>
            <w:tcW w:type="dxa" w:w="542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Estado mínimo da aplicação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/conta/entrar/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Autenticação</w:t>
            </w:r>
          </w:p>
        </w:tc>
      </w:tr>
      <w:tr>
        <w:trPr>
          <w:trHeight w:hRule="atLeast"/>
        </w:trPr>
        <w:tc>
          <w:tcPr>
            <w:tcW w:type="dxa" w:w="398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/conta/painel/</w:t>
            </w:r>
          </w:p>
        </w:tc>
        <w:tc>
          <w:tcPr>
            <w:tcW w:type="dxa" w:w="542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Painel adaptado ao perfil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/candidaturas/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Lista e preparação de candidaturas</w:t>
            </w:r>
          </w:p>
        </w:tc>
      </w:tr>
      <w:tr>
        <w:trPr>
          <w:trHeight w:hRule="atLeast"/>
        </w:trPr>
        <w:tc>
          <w:tcPr>
            <w:tcW w:type="dxa" w:w="398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/candidaturas/exportar.csv</w:t>
            </w:r>
          </w:p>
        </w:tc>
        <w:tc>
          <w:tcPr>
            <w:tcW w:type="dxa" w:w="542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Exportação mínima autorizada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/documentos/candidatura/&lt;uuid&gt;/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Checklist e ficheiros privados</w:t>
            </w:r>
          </w:p>
        </w:tc>
      </w:tr>
      <w:tr>
        <w:trPr>
          <w:trHeight w:hRule="atLeast"/>
        </w:trPr>
        <w:tc>
          <w:tcPr>
            <w:tcW w:type="dxa" w:w="398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/workflow/&lt;uuid&gt;/</w:t>
            </w:r>
          </w:p>
        </w:tc>
        <w:tc>
          <w:tcPr>
            <w:tcW w:type="dxa" w:w="542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Histórico, análise e encerramento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/workflow/notificacoes/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Central pessoal de avisos</w:t>
            </w:r>
          </w:p>
        </w:tc>
      </w:tr>
      <w:tr>
        <w:trPr>
          <w:trHeight w:hRule="atLeast"/>
        </w:trPr>
        <w:tc>
          <w:tcPr>
            <w:tcW w:type="dxa" w:w="3982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/regras/</w:t>
            </w:r>
          </w:p>
        </w:tc>
        <w:tc>
          <w:tcPr>
            <w:tcW w:type="dxa" w:w="5429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Versões de regras</w:t>
            </w:r>
          </w:p>
        </w:tc>
      </w:tr>
      <w:tr>
        <w:trPr>
          <w:trHeight w:hRule="atLeast"/>
        </w:trPr>
        <w:tc>
          <w:tcPr>
            <w:tcW w:type="dxa" w:w="39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/admin/</w:t>
            </w:r>
          </w:p>
        </w:tc>
        <w:tc>
          <w:tcPr>
            <w:tcW w:type="dxa" w:w="54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Administração técnica autorizada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Fontes e documentação</w:t>
      </w:r>
    </w:p>
    <w:p>
      <w:pPr>
        <w:pStyle w:val="ListBullet"/>
        <w:spacing w:after="80" w:line="290" w:lineRule="auto"/>
      </w:pPr>
      <w:r>
        <w:t>Documentação de planeamento e operação incluída no repositório FormaFlow.</w:t>
      </w:r>
    </w:p>
    <w:p>
      <w:pPr>
        <w:pStyle w:val="ListBullet"/>
        <w:spacing w:after="80" w:line="290" w:lineRule="auto"/>
      </w:pPr>
      <w:r>
        <w:t>Código-fonte e histórico de commits: https://github.com/1DarkWolf/Formaflow</w:t>
      </w:r>
    </w:p>
    <w:p>
      <w:pPr>
        <w:pStyle w:val="ListBullet"/>
        <w:spacing w:after="80" w:line="290" w:lineRule="auto"/>
      </w:pPr>
      <w:r>
        <w:t>Diagramas de casos de uso, classes e processo fornecidos para os Módulos 12 e 13.</w:t>
      </w:r>
    </w:p>
    <w:p>
      <w:pPr>
        <w:pStyle w:val="ListBullet"/>
        <w:spacing w:after="80" w:line="290" w:lineRule="auto"/>
      </w:pPr>
      <w:r>
        <w:t>Manual, ficha síntese, regulamento e anexos do Cheque-Formação fornecidos como consulta.</w:t>
      </w:r>
    </w:p>
    <w:p>
      <w:pPr>
        <w:pStyle w:val="ListBullet"/>
        <w:spacing w:after="80" w:line="290" w:lineRule="auto"/>
      </w:pPr>
      <w:r>
        <w:t>Relatório de validação técnica de 3 de setembro de 2026.</w:t>
      </w:r>
    </w:p>
    <w:sectPr w:rsidR="00FC693F" w:rsidRPr="0006063C" w:rsidSect="00034616">
      <w:pgSz w:w="11906" w:h="16838"/>
      <w:pgMar w:top="1247" w:right="1247" w:bottom="1247" w:left="124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87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300" w:lineRule="auto"/>
    </w:pPr>
    <w:rPr>
      <w:rFonts w:ascii="Calibri" w:hAnsi="Calibri"/>
      <w:color w:val="16324F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