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2276BE"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2276BE"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2276BE"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3F78BD" w:rsidRDefault="003F78BD">
      <w:pPr>
        <w:spacing w:after="160" w:line="259" w:lineRule="auto"/>
      </w:pPr>
      <w:r>
        <w:br w:type="page"/>
      </w:r>
    </w:p>
    <w:p w:rsidR="009C3487" w:rsidRDefault="009C3487" w:rsidP="009C3487">
      <w:pPr>
        <w:pStyle w:val="berschrift2"/>
      </w:pPr>
      <w:r>
        <w:lastRenderedPageBreak/>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w:t>
      </w:r>
      <w:bookmarkStart w:id="1" w:name="_GoBack"/>
      <w:bookmarkEnd w:id="1"/>
      <w:r>
        <w:t>er der Stellenwert betont, den die Biographie der Autorin für ihr Werk hat.</w:t>
      </w:r>
    </w:p>
    <w:p w:rsidR="007C3AF5" w:rsidRDefault="007C3AF5" w:rsidP="009C3487">
      <w:r>
        <w:rPr>
          <w:noProof/>
          <w:lang w:eastAsia="ja-JP"/>
        </w:rPr>
        <w:drawing>
          <wp:inline distT="0" distB="0" distL="0" distR="0">
            <wp:extent cx="2047517"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057272" cy="3315817"/>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B559C5"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t xml:space="preserve">Aber auch die Verbindung mit Wieland endet mit einer Enttäuschung: Sophie lös die Verlobung auf Drängen der Familie und heiratet 1753 den katholischen Frank Michael von La Roche. In den nächsten Jahren widmet sie sich vornehmlich den, aufgrund ihrer Stellung am Hofe des Grafen </w:t>
      </w:r>
      <w:r>
        <w:lastRenderedPageBreak/>
        <w:t>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t>Selbstbewusster Schritt an die Öffentlichkeit bei Maria Anna Sagar</w:t>
      </w:r>
    </w:p>
    <w:p w:rsidR="009C3487" w:rsidRDefault="009C3487" w:rsidP="009C3487">
      <w:r>
        <w:lastRenderedPageBreak/>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3"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w:t>
      </w:r>
      <w:r>
        <w:lastRenderedPageBreak/>
        <w:t>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A3B01"/>
    <w:rsid w:val="000B1B76"/>
    <w:rsid w:val="000B498A"/>
    <w:rsid w:val="000C240C"/>
    <w:rsid w:val="000D5BA5"/>
    <w:rsid w:val="000F28BF"/>
    <w:rsid w:val="001142CF"/>
    <w:rsid w:val="00130C82"/>
    <w:rsid w:val="001926ED"/>
    <w:rsid w:val="001A1CEE"/>
    <w:rsid w:val="001A39ED"/>
    <w:rsid w:val="001A3E43"/>
    <w:rsid w:val="002017DA"/>
    <w:rsid w:val="002109FD"/>
    <w:rsid w:val="002276BE"/>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3F78BD"/>
    <w:rsid w:val="0040015F"/>
    <w:rsid w:val="00411E2A"/>
    <w:rsid w:val="004224BC"/>
    <w:rsid w:val="00473EE5"/>
    <w:rsid w:val="00480B74"/>
    <w:rsid w:val="00487A42"/>
    <w:rsid w:val="004E3E73"/>
    <w:rsid w:val="00520462"/>
    <w:rsid w:val="005260CD"/>
    <w:rsid w:val="00530E89"/>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64AF0"/>
    <w:rsid w:val="006861D2"/>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C3AF5"/>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hyperlink" Target="file:///C:\Users\Lektorat\Documents\Word2010\kap06\frauenromane_magisterarbeit.docx" TargetMode="Externa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5357</Words>
  <Characters>33753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2016-07-17T10:17:00Z</dcterms:created>
  <dcterms:modified xsi:type="dcterms:W3CDTF">2016-07-17T10:17:00Z</dcterms:modified>
</cp:coreProperties>
</file>