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rsidP="007462F1">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8"/>
          <w:pgSz w:w="11906" w:h="16838"/>
          <w:pgMar w:top="1134" w:right="1701" w:bottom="1134" w:left="851" w:header="709" w:footer="709" w:gutter="567"/>
          <w:pgNumType w:fmt="upperRoman"/>
          <w:cols w:space="708"/>
          <w:titlePg/>
          <w:docGrid w:linePitch="360"/>
        </w:sectPr>
      </w:pPr>
    </w:p>
    <w:p w:rsidR="002A29E0" w:rsidRDefault="002A29E0" w:rsidP="002A29E0">
      <w:pPr>
        <w:pStyle w:val="berschrift1"/>
      </w:pPr>
      <w:r>
        <w:lastRenderedPageBreak/>
        <w:t>Übersichtstabelle</w:t>
      </w:r>
    </w:p>
    <w:p w:rsidR="0016375A" w:rsidRPr="0016375A" w:rsidRDefault="0016375A" w:rsidP="0016375A"/>
    <w:p w:rsidR="00013D46" w:rsidRDefault="00013D46"/>
    <w:p w:rsidR="003A608F" w:rsidRDefault="003A608F" w:rsidP="003A608F">
      <w:pPr>
        <w:pStyle w:val="Beschriftung"/>
        <w:keepNext/>
      </w:pPr>
      <w:r>
        <w:t xml:space="preserve">Tabelle </w:t>
      </w:r>
      <w:r>
        <w:fldChar w:fldCharType="begin"/>
      </w:r>
      <w:r>
        <w:instrText xml:space="preserve"> SEQ Tabelle \* ARABIC </w:instrText>
      </w:r>
      <w:r>
        <w:fldChar w:fldCharType="separate"/>
      </w:r>
      <w:r>
        <w:rPr>
          <w:noProof/>
        </w:rPr>
        <w:t>1</w:t>
      </w:r>
      <w:r>
        <w:fldChar w:fldCharType="end"/>
      </w:r>
      <w:r>
        <w:t xml:space="preserve">: </w:t>
      </w:r>
      <w:r w:rsidRPr="0027453B">
        <w:t xml:space="preserve">Verkaufserlöse in der Landwirtschaft </w:t>
      </w:r>
      <w:r>
        <w:t xml:space="preserve">(Angaben für Deutschland in Mill. Euro; </w:t>
      </w:r>
      <w:r w:rsidRPr="003A608F">
        <w:t>Quelle: http://www.statistik-portal.de/Landwirtschaft.LGR)</w:t>
      </w:r>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856B05" w:rsidRPr="003974E2" w:rsidTr="0027453B">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16375A" w:rsidRPr="003974E2" w:rsidRDefault="0016375A" w:rsidP="006B74B0">
            <w:pPr>
              <w:rPr>
                <w:lang w:eastAsia="de-DE"/>
              </w:rPr>
            </w:pPr>
          </w:p>
        </w:tc>
        <w:tc>
          <w:tcPr>
            <w:tcW w:w="710"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856B05" w:rsidRPr="003974E2" w:rsidTr="0027453B">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16375A" w:rsidRPr="003974E2" w:rsidRDefault="0016375A" w:rsidP="00856B05">
            <w:pPr>
              <w:rPr>
                <w:lang w:eastAsia="de-DE"/>
              </w:rPr>
            </w:pPr>
            <w:r w:rsidRPr="003974E2">
              <w:rPr>
                <w:lang w:eastAsia="de-DE"/>
              </w:rPr>
              <w:t>Pflanzliche Erzeugnisse</w:t>
            </w:r>
          </w:p>
        </w:tc>
        <w:tc>
          <w:tcPr>
            <w:tcW w:w="710"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2755A7" w:rsidRPr="003974E2" w:rsidTr="0027453B">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16375A" w:rsidRPr="003974E2" w:rsidRDefault="0016375A" w:rsidP="00856B05">
            <w:pPr>
              <w:rPr>
                <w:lang w:eastAsia="de-DE"/>
              </w:rPr>
            </w:pPr>
            <w:r w:rsidRPr="003974E2">
              <w:rPr>
                <w:lang w:eastAsia="de-DE"/>
              </w:rPr>
              <w:t>Tierische Erzeugnisse</w:t>
            </w:r>
          </w:p>
        </w:tc>
        <w:tc>
          <w:tcPr>
            <w:tcW w:w="710"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856B05" w:rsidRPr="003974E2" w:rsidTr="0027453B">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16375A" w:rsidRPr="003974E2" w:rsidRDefault="0016375A" w:rsidP="00856B05">
            <w:pPr>
              <w:rPr>
                <w:lang w:eastAsia="de-DE"/>
              </w:rPr>
            </w:pPr>
            <w:r w:rsidRPr="003974E2">
              <w:rPr>
                <w:lang w:eastAsia="de-DE"/>
              </w:rPr>
              <w:t>Verkaufserlöse</w:t>
            </w:r>
            <w:r w:rsidR="00013D46">
              <w:rPr>
                <w:lang w:eastAsia="de-DE"/>
              </w:rPr>
              <w:t xml:space="preserve"> </w:t>
            </w:r>
            <w:r w:rsidRPr="003974E2">
              <w:rPr>
                <w:lang w:eastAsia="de-DE"/>
              </w:rPr>
              <w:t>gesamt</w:t>
            </w:r>
          </w:p>
        </w:tc>
        <w:tc>
          <w:tcPr>
            <w:tcW w:w="710"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16375A" w:rsidRDefault="0016375A"/>
    <w:p w:rsidR="0027453B" w:rsidRDefault="0027453B">
      <w:bookmarkStart w:id="0" w:name="_GoBack"/>
      <w:bookmarkEnd w:id="0"/>
    </w:p>
    <w:p w:rsidR="0027453B" w:rsidRDefault="0027453B"/>
    <w:p w:rsidR="0027453B" w:rsidRPr="003A608F" w:rsidRDefault="0027453B" w:rsidP="0027453B">
      <w:r w:rsidRPr="0027453B">
        <w:t xml:space="preserve">Verkaufserlöse in der Landwirtschaft </w:t>
      </w:r>
      <w:r>
        <w:t xml:space="preserve">(Angaben für Deutschland in Mill. Euro; </w:t>
      </w:r>
      <w:r w:rsidRPr="003A608F">
        <w:t>Quelle: http://www.statistik-portal.de/Landwirtschaft.LGR</w:t>
      </w:r>
      <w:r w:rsidRPr="003A608F">
        <w:t>)</w:t>
      </w:r>
    </w:p>
    <w:p w:rsidR="002A29E0" w:rsidRPr="003A608F" w:rsidRDefault="002A29E0" w:rsidP="002A29E0">
      <w:r w:rsidRPr="003A608F">
        <w:br w:type="page"/>
      </w: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9"/>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10"/>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FF9" w:rsidRDefault="00923FF9" w:rsidP="005316A5">
      <w:pPr>
        <w:spacing w:after="0" w:line="240" w:lineRule="auto"/>
      </w:pPr>
      <w:r>
        <w:separator/>
      </w:r>
    </w:p>
  </w:endnote>
  <w:endnote w:type="continuationSeparator" w:id="0">
    <w:p w:rsidR="00923FF9" w:rsidRDefault="00923FF9"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3A608F">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89502"/>
      <w:docPartObj>
        <w:docPartGallery w:val="Page Numbers (Bottom of Page)"/>
        <w:docPartUnique/>
      </w:docPartObj>
    </w:sdtPr>
    <w:sdtEndPr/>
    <w:sdtContent>
      <w:p w:rsidR="00B76BE5" w:rsidRDefault="00B76BE5">
        <w:pPr>
          <w:pStyle w:val="Fuzeile"/>
          <w:jc w:val="center"/>
        </w:pPr>
        <w:r>
          <w:fldChar w:fldCharType="begin"/>
        </w:r>
        <w:r>
          <w:instrText>PAGE   \* MERGEFORMAT</w:instrText>
        </w:r>
        <w:r>
          <w:fldChar w:fldCharType="separate"/>
        </w:r>
        <w:r w:rsidR="003A608F">
          <w:rPr>
            <w:noProof/>
          </w:rPr>
          <w:t>12</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FF9" w:rsidRDefault="00923FF9" w:rsidP="005316A5">
      <w:pPr>
        <w:spacing w:after="0" w:line="240" w:lineRule="auto"/>
      </w:pPr>
      <w:r>
        <w:separator/>
      </w:r>
    </w:p>
  </w:footnote>
  <w:footnote w:type="continuationSeparator" w:id="0">
    <w:p w:rsidR="00923FF9" w:rsidRDefault="00923FF9"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05688"/>
    <w:rsid w:val="0001160B"/>
    <w:rsid w:val="00013D46"/>
    <w:rsid w:val="00021D28"/>
    <w:rsid w:val="000A606C"/>
    <w:rsid w:val="000B4F77"/>
    <w:rsid w:val="000E1520"/>
    <w:rsid w:val="0016375A"/>
    <w:rsid w:val="00172580"/>
    <w:rsid w:val="001C1FBF"/>
    <w:rsid w:val="00234590"/>
    <w:rsid w:val="00236D8D"/>
    <w:rsid w:val="002427DF"/>
    <w:rsid w:val="0027453B"/>
    <w:rsid w:val="00274F05"/>
    <w:rsid w:val="002755A7"/>
    <w:rsid w:val="002A1B2E"/>
    <w:rsid w:val="002A29E0"/>
    <w:rsid w:val="00310284"/>
    <w:rsid w:val="003315BF"/>
    <w:rsid w:val="00333662"/>
    <w:rsid w:val="003A5CC2"/>
    <w:rsid w:val="003A608F"/>
    <w:rsid w:val="00422EB3"/>
    <w:rsid w:val="00430CF5"/>
    <w:rsid w:val="0046243B"/>
    <w:rsid w:val="004B1246"/>
    <w:rsid w:val="004D6A09"/>
    <w:rsid w:val="005316A5"/>
    <w:rsid w:val="00557C7B"/>
    <w:rsid w:val="005965E8"/>
    <w:rsid w:val="005E1CBF"/>
    <w:rsid w:val="005E2E88"/>
    <w:rsid w:val="006E2193"/>
    <w:rsid w:val="00737A1B"/>
    <w:rsid w:val="007462F1"/>
    <w:rsid w:val="00794ACA"/>
    <w:rsid w:val="007D751B"/>
    <w:rsid w:val="00856B05"/>
    <w:rsid w:val="008D6097"/>
    <w:rsid w:val="00923FF9"/>
    <w:rsid w:val="00961308"/>
    <w:rsid w:val="009B203F"/>
    <w:rsid w:val="00A80530"/>
    <w:rsid w:val="00B278BA"/>
    <w:rsid w:val="00B76BE5"/>
    <w:rsid w:val="00B90709"/>
    <w:rsid w:val="00BA635B"/>
    <w:rsid w:val="00C32607"/>
    <w:rsid w:val="00DA4C51"/>
    <w:rsid w:val="00E35914"/>
    <w:rsid w:val="00EB38BF"/>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7ED27"/>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table" w:styleId="Tabellenraster">
    <w:name w:val="Table Grid"/>
    <w:basedOn w:val="NormaleTabelle"/>
    <w:uiPriority w:val="39"/>
    <w:rsid w:val="0000568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0056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5dunkelAkzent2">
    <w:name w:val="Grid Table 5 Dark Accent 2"/>
    <w:basedOn w:val="NormaleTabelle"/>
    <w:uiPriority w:val="50"/>
    <w:rsid w:val="001725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EinfacheTabelle3">
    <w:name w:val="Plain Table 3"/>
    <w:basedOn w:val="NormaleTabelle"/>
    <w:uiPriority w:val="43"/>
    <w:rsid w:val="005E1C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5E1C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4Akzent2">
    <w:name w:val="Grid Table 4 Accent 2"/>
    <w:basedOn w:val="NormaleTabelle"/>
    <w:uiPriority w:val="49"/>
    <w:rsid w:val="0027453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5dunkelAkzent3">
    <w:name w:val="Grid Table 5 Dark Accent 3"/>
    <w:basedOn w:val="NormaleTabelle"/>
    <w:uiPriority w:val="50"/>
    <w:rsid w:val="002745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eschriftung">
    <w:name w:val="caption"/>
    <w:basedOn w:val="Standard"/>
    <w:next w:val="Standard"/>
    <w:uiPriority w:val="35"/>
    <w:unhideWhenUsed/>
    <w:qFormat/>
    <w:rsid w:val="003A60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0D35D-B0A8-4803-9F72-2D44A0EB4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5314</Words>
  <Characters>33482</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4</cp:revision>
  <dcterms:created xsi:type="dcterms:W3CDTF">2016-07-17T20:48:00Z</dcterms:created>
  <dcterms:modified xsi:type="dcterms:W3CDTF">2016-07-17T21:00:00Z</dcterms:modified>
</cp:coreProperties>
</file>