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Теплопроводность, детерминированное горение</w:t>
      </w:r>
    </w:p>
    <w:p>
      <w:pPr>
        <w:pStyle w:val="Subtitle"/>
      </w:pPr>
      <w:r>
        <w:t xml:space="preserve">Этап №3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сравнить методы численного моделирования процесса теплопереноса и горения, включая формализацию задачи, подходы к ее дискретизации и особенности реализации, с акцентом на устойчивость, точность и применимость методов в различных условиях.</w:t>
      </w:r>
    </w:p>
    <w:p>
      <w:pPr>
        <w:pStyle w:val="BodyText"/>
      </w:pPr>
      <w:r>
        <w:t xml:space="preserve">#Задание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математическую модель теплопроводности с учетом процесса горения.</w:t>
      </w:r>
    </w:p>
    <w:p>
      <w:pPr>
        <w:pStyle w:val="Compact"/>
        <w:numPr>
          <w:ilvl w:val="0"/>
          <w:numId w:val="1001"/>
        </w:numPr>
      </w:pPr>
      <w:r>
        <w:t xml:space="preserve">Установить особенности численного моделирования с учетом температурных зависимостей и локализации реакции.</w:t>
      </w:r>
    </w:p>
    <w:p>
      <w:pPr>
        <w:pStyle w:val="Compact"/>
        <w:numPr>
          <w:ilvl w:val="0"/>
          <w:numId w:val="1001"/>
        </w:numPr>
      </w:pPr>
      <w:r>
        <w:t xml:space="preserve">Реализовать численные схемы решения задачи на примере одномерной модели.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точность и устойчивость применяемых схем.</w:t>
      </w:r>
    </w:p>
    <w:p>
      <w:pPr>
        <w:pStyle w:val="Compact"/>
        <w:numPr>
          <w:ilvl w:val="0"/>
          <w:numId w:val="1001"/>
        </w:numPr>
      </w:pPr>
      <w:r>
        <w:t xml:space="preserve">Сравнить численные решения с аналитическим (если возможно) или эталонным.</w:t>
      </w:r>
    </w:p>
    <w:p>
      <w:pPr>
        <w:pStyle w:val="Compact"/>
        <w:numPr>
          <w:ilvl w:val="0"/>
          <w:numId w:val="1001"/>
        </w:numPr>
      </w:pPr>
      <w:r>
        <w:t xml:space="preserve">Сделать выводы по применимости каждого метода для моделирования задач горения.</w:t>
      </w:r>
    </w:p>
    <w:bookmarkEnd w:id="20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Процесс теплопереноса в горящих средах представляет собой сложную нелинейную задачу, для которой требуется точное численное моделирование. В данной работе рассматривается однородная среда с источником тепла, моделирующим химическую реакцию.</w:t>
      </w:r>
    </w:p>
    <w:p>
      <w:pPr>
        <w:pStyle w:val="BodyText"/>
      </w:pPr>
      <w:r>
        <w:t xml:space="preserve">В основе лежит уравнение теплопроводности с источником тепла, заданным в виде аррениусовской функции, что добавляет системе высокой нелинейности. Модель включает температурную зависимость теплопроводности и теплоемкости, что требует применения итерационных численных методов и адаптивных подходов к пространственной дискретизации.</w:t>
      </w:r>
    </w:p>
    <w:bookmarkStart w:id="21" w:name="математическая-модел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Математическая модель</w:t>
      </w:r>
    </w:p>
    <w:p>
      <w:pPr>
        <w:pStyle w:val="FirstParagraph"/>
      </w:pPr>
      <w:r>
        <w:t xml:space="preserve">Основное уравнение: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c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2"/>
        </w:numPr>
      </w:pP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— температура,</w:t>
      </w:r>
    </w:p>
    <w:p>
      <w:pPr>
        <w:pStyle w:val="Compact"/>
        <w:numPr>
          <w:ilvl w:val="0"/>
          <w:numId w:val="1002"/>
        </w:numPr>
      </w:pPr>
      <m:oMath>
        <m:r>
          <m:t>k</m:t>
        </m:r>
      </m:oMath>
      <w:r>
        <w:t xml:space="preserve"> </w:t>
      </w:r>
      <w:r>
        <w:t xml:space="preserve">— коэффициент теплопроводности,</w:t>
      </w:r>
    </w:p>
    <w:p>
      <w:pPr>
        <w:pStyle w:val="Compact"/>
        <w:numPr>
          <w:ilvl w:val="0"/>
          <w:numId w:val="1002"/>
        </w:numPr>
      </w:pPr>
      <m:oMath>
        <m:r>
          <m:t>ρ</m:t>
        </m:r>
      </m:oMath>
      <w:r>
        <w:t xml:space="preserve"> </w:t>
      </w:r>
      <w:r>
        <w:t xml:space="preserve">— плотность,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t xml:space="preserve"> </w:t>
      </w:r>
      <w:r>
        <w:t xml:space="preserve">— удельная теплоемкость,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функция тепловыделения, моделирующая горение.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32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 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Толщина пластины (м)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Число узлов сетки по пространству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(lamda)</w:t>
            </w:r>
          </w:p>
        </w:tc>
        <w:tc>
          <w:tcPr/>
          <w:p>
            <w:pPr>
              <w:pStyle w:val="Compact"/>
            </w:pPr>
            <w:r>
              <w:t xml:space="preserve">Коэффициент теплопроводности материала (Вт/(м·К))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</w:t>
            </w:r>
          </w:p>
        </w:tc>
        <w:tc>
          <w:tcPr/>
          <w:p>
            <w:pPr>
              <w:pStyle w:val="Compact"/>
            </w:pPr>
            <w:r>
              <w:t xml:space="preserve">Плотность материала (кг/м³)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Теплоемкость материала (Дж/(кг·К))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kapa (kара)</w:t>
            </w:r>
          </w:p>
        </w:tc>
        <w:tc>
          <w:tcPr/>
          <w:p>
            <w:pPr>
              <w:pStyle w:val="Compact"/>
            </w:pPr>
            <w:r>
              <w:t xml:space="preserve">Коэффициент теплообмена с окружающей средой (Вт/(м²·К))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</w:t>
            </w:r>
          </w:p>
        </w:tc>
        <w:tc>
          <w:tcPr/>
          <w:p>
            <w:pPr>
              <w:pStyle w:val="Compact"/>
            </w:pPr>
            <w:r>
              <w:t xml:space="preserve">Температура внешней среды (К)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Тепловой эффект химической реакции (Дж/кг)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k0</w:t>
            </w:r>
          </w:p>
        </w:tc>
        <w:tc>
          <w:tcPr/>
          <w:p>
            <w:pPr>
              <w:pStyle w:val="Compact"/>
            </w:pPr>
            <w:r>
              <w:t xml:space="preserve">Предэкспоненциальный множитель в уравнении Аррениуса (1/с)</w:t>
            </w:r>
          </w:p>
        </w:tc>
        <w:tc>
          <w:tcPr/>
          <w:p>
            <w:pPr>
              <w:pStyle w:val="Compact"/>
            </w:pPr>
            <w:r>
              <w:t xml:space="preserve">30000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Энергия активации химической реакции (Дж/моль)</w:t>
            </w:r>
          </w:p>
        </w:tc>
        <w:tc>
          <w:tcPr/>
          <w:p>
            <w:pPr>
              <w:pStyle w:val="Compact"/>
            </w:pPr>
            <w:r>
              <w:t xml:space="preserve">36500 (критическое значение)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t xml:space="preserve">Начальная температура пластины (К)</w:t>
            </w:r>
          </w:p>
        </w:tc>
        <w:tc>
          <w:tcPr/>
          <w:p>
            <w:pPr>
              <w:pStyle w:val="Compact"/>
            </w:pPr>
            <w:r>
              <w:t xml:space="preserve">298</w:t>
            </w:r>
          </w:p>
        </w:tc>
      </w:tr>
    </w:tbl>
    <w:p>
      <w:pPr>
        <w:pStyle w:val="BodyText"/>
      </w:pPr>
      <w:r>
        <w:t xml:space="preserve">Функция источника задается в виде: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параметры, определяющие интенсивность химической реакции.</w:t>
      </w:r>
    </w:p>
    <w:bookmarkEnd w:id="21"/>
    <w:bookmarkStart w:id="22" w:name="численная-схе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Численная схема</w:t>
      </w:r>
    </w:p>
    <w:p>
      <w:pPr>
        <w:pStyle w:val="FirstParagraph"/>
      </w:pPr>
      <w:r>
        <w:t xml:space="preserve">Для численного решения используется метод конечных разностей. Пространственная область дискретизуется с шагом</w:t>
      </w:r>
      <w:r>
        <w:t xml:space="preserve"> </w:t>
      </w:r>
      <m:oMath>
        <m:r>
          <m:t>h</m:t>
        </m:r>
      </m:oMath>
      <w:r>
        <w:t xml:space="preserve">, временная — с шагом</w:t>
      </w:r>
      <w:r>
        <w:t xml:space="preserve"> </w:t>
      </w:r>
      <m:oMath>
        <m:r>
          <m:t>τ</m:t>
        </m:r>
      </m:oMath>
      <w:r>
        <w:t xml:space="preserve">.</w:t>
      </w:r>
    </w:p>
    <w:p>
      <w:pPr>
        <w:pStyle w:val="BodyText"/>
      </w:pPr>
      <w:r>
        <w:t xml:space="preserve">Применена неявная схема (метод Кранка-Николсона) для повышения устойчивости при решении задачи с жесткими условиями. Уравнение аппроксимируется в виде: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</m:sup>
              </m:sSubSup>
            </m:num>
            <m:den>
              <m:r>
                <m:t>τ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bSup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bSup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аналогично для </m:t>
              </m:r>
              <m:r>
                <m:t>n</m:t>
              </m:r>
            </m:e>
          </m:d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Для решения нелинейной системы на каждом шаге используется метод простых итераций с релаксацией. Критерий остановки: достижение заданной точности по норме разности температур между итерациями.</w:t>
      </w:r>
    </w:p>
    <w:bookmarkEnd w:id="22"/>
    <w:bookmarkStart w:id="23" w:name="реализация-и-результат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Реализация и результаты</w:t>
      </w:r>
    </w:p>
    <w:p>
      <w:pPr>
        <w:pStyle w:val="FirstParagraph"/>
      </w:pPr>
      <w:r>
        <w:t xml:space="preserve">Задача реализована в виде программного кода (Julia, Python). Приведены графики распределения температуры во времени, демонстрирующие распространение тепловой волны и формирование фронта горения. Проводился расчет на нескольких пространственных разрешениях (число узлов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r>
          <m:t>40</m:t>
        </m:r>
      </m:oMath>
      <w:r>
        <w:t xml:space="preserve">,</w:t>
      </w:r>
      <w:r>
        <w:t xml:space="preserve"> </w:t>
      </w:r>
      <m:oMath>
        <m:r>
          <m:t>80</m:t>
        </m:r>
      </m:oMath>
      <w:r>
        <w:t xml:space="preserve">) с анализом устойчивости и точности.</w:t>
      </w:r>
    </w:p>
    <w:p>
      <w:pPr>
        <w:pStyle w:val="BodyText"/>
      </w:pPr>
      <w:r>
        <w:t xml:space="preserve">Результаты демонстрируют:</w:t>
      </w:r>
    </w:p>
    <w:p>
      <w:pPr>
        <w:pStyle w:val="Compact"/>
        <w:numPr>
          <w:ilvl w:val="0"/>
          <w:numId w:val="1003"/>
        </w:numPr>
      </w:pPr>
      <w:r>
        <w:t xml:space="preserve">влияние шага по пространству и времени на точность решения;</w:t>
      </w:r>
    </w:p>
    <w:p>
      <w:pPr>
        <w:pStyle w:val="Compact"/>
        <w:numPr>
          <w:ilvl w:val="0"/>
          <w:numId w:val="1003"/>
        </w:numPr>
      </w:pPr>
      <w:r>
        <w:t xml:space="preserve">усиление нелинейности при увеличении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(интенсивность источника);</w:t>
      </w:r>
    </w:p>
    <w:p>
      <w:pPr>
        <w:pStyle w:val="Compact"/>
        <w:numPr>
          <w:ilvl w:val="0"/>
          <w:numId w:val="1003"/>
        </w:numPr>
      </w:pPr>
      <w:r>
        <w:t xml:space="preserve">необходимость адаптации сетки вблизи фронта для более точного разрешения.</w:t>
      </w:r>
    </w:p>
    <w:bookmarkEnd w:id="23"/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Compact"/>
        <w:numPr>
          <w:ilvl w:val="0"/>
          <w:numId w:val="1004"/>
        </w:numPr>
      </w:pPr>
      <w:r>
        <w:t xml:space="preserve">Использование неявной схемы обеспечивает устойчивость при решении задачи с жесткими источниками тепла.</w:t>
      </w:r>
    </w:p>
    <w:p>
      <w:pPr>
        <w:pStyle w:val="Compact"/>
        <w:numPr>
          <w:ilvl w:val="0"/>
          <w:numId w:val="1004"/>
        </w:numPr>
      </w:pPr>
      <w:r>
        <w:t xml:space="preserve">При больших значениях параметров горения требуется более тонкая пространственная сетка или использование адаптивных методов (например, подвижных сеток).</w:t>
      </w:r>
    </w:p>
    <w:p>
      <w:pPr>
        <w:pStyle w:val="Compact"/>
        <w:numPr>
          <w:ilvl w:val="0"/>
          <w:numId w:val="1004"/>
        </w:numPr>
      </w:pPr>
      <w:r>
        <w:t xml:space="preserve">Метод конечных разностей может быть успешно применен для одномерных задач, но требует модернизации при переходе к более сложным геометриям.</w:t>
      </w:r>
    </w:p>
    <w:p>
      <w:pPr>
        <w:pStyle w:val="Compact"/>
        <w:numPr>
          <w:ilvl w:val="0"/>
          <w:numId w:val="1004"/>
        </w:numPr>
      </w:pPr>
      <w:r>
        <w:t xml:space="preserve">Предложенная модель и схема адекватно описывают процесс распространения тепла и реакции, но требуют точной калибровки параметров модели.</w:t>
      </w:r>
    </w:p>
    <w:bookmarkEnd w:id="25"/>
    <w:bookmarkStart w:id="2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Медведев Д. А., Куперштох А. Л., Прууэл Э. Р., Сатонкина Н. П., Карпов Д. И. Моделирование физических процессов и явлений на ПК: Учеб. пособие / Новосибирск: Новосиб. гос. ун-т., 2010. — 101 с.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Теплопроводность, детерминированное горение</dc:title>
  <dc:creator/>
  <dc:language>ru-RU</dc:language>
  <cp:keywords/>
  <dcterms:created xsi:type="dcterms:W3CDTF">2025-05-03T18:54:34Z</dcterms:created>
  <dcterms:modified xsi:type="dcterms:W3CDTF">2025-05-03T18:54:34Z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Этап №3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