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6.png" ContentType="image/png"/>
  <Override PartName="/word/media/rId60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Subtitle"/>
      </w:pPr>
      <w:r>
        <w:t xml:space="preserve">Планирование локальной сети организации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графический редактор (например, Dia), требуется повторить схемы L1, L2, L3, а также сопутствующие им таблицы VLAN, IP-адресов и портов подключения оборудования планируемой сети.</w:t>
      </w:r>
    </w:p>
    <w:p>
      <w:pPr>
        <w:pStyle w:val="Compact"/>
        <w:numPr>
          <w:ilvl w:val="0"/>
          <w:numId w:val="1001"/>
        </w:numPr>
      </w:pPr>
      <w:r>
        <w:t xml:space="preserve">Рассмотренный выше пример планирования адресного пространства сети базируется на разбиении сети 10.128.0.0/16 на соответствующие подсети. Требуется сделать аналогичный план адресного пространства для сетей 172.16.0.0/12 и 192.168.0.0/16 с соответствующими схемами сети и сопутствующими таблицами VLAN, IP-адресов и портов подключения оборудования.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Предположим, что в некоторой учебной организации требуется спланировать сетевую инфраструктуру.</w:t>
      </w:r>
      <w:r>
        <w:t xml:space="preserve"> </w:t>
      </w:r>
      <w:r>
        <w:t xml:space="preserve">Особенности организации с точки зрения планирования локальной сети:</w:t>
      </w:r>
    </w:p>
    <w:p>
      <w:pPr>
        <w:pStyle w:val="Compact"/>
        <w:numPr>
          <w:ilvl w:val="0"/>
          <w:numId w:val="1002"/>
        </w:numPr>
      </w:pPr>
      <w:r>
        <w:t xml:space="preserve">организация располагается в одном городе (предположим — в Москве), но на двух территориях (назовём их «Донская» и «Павловская»);</w:t>
      </w:r>
    </w:p>
    <w:p>
      <w:pPr>
        <w:pStyle w:val="Compact"/>
        <w:numPr>
          <w:ilvl w:val="0"/>
          <w:numId w:val="1002"/>
        </w:numPr>
      </w:pPr>
      <w:r>
        <w:t xml:space="preserve">группы пользователей организации:</w:t>
      </w:r>
    </w:p>
    <w:p>
      <w:pPr>
        <w:pStyle w:val="Compact"/>
        <w:numPr>
          <w:ilvl w:val="0"/>
          <w:numId w:val="1002"/>
        </w:numPr>
      </w:pPr>
      <w:r>
        <w:t xml:space="preserve">администрация (А);</w:t>
      </w:r>
    </w:p>
    <w:p>
      <w:pPr>
        <w:pStyle w:val="Compact"/>
        <w:numPr>
          <w:ilvl w:val="0"/>
          <w:numId w:val="1002"/>
        </w:numPr>
      </w:pPr>
      <w:r>
        <w:t xml:space="preserve">преподавательский состав кафедр (К);</w:t>
      </w:r>
    </w:p>
    <w:p>
      <w:pPr>
        <w:pStyle w:val="Compact"/>
        <w:numPr>
          <w:ilvl w:val="0"/>
          <w:numId w:val="1002"/>
        </w:numPr>
      </w:pPr>
      <w:r>
        <w:t xml:space="preserve">пользователи дисплейных классов общего пользования (ДК);</w:t>
      </w:r>
    </w:p>
    <w:p>
      <w:pPr>
        <w:pStyle w:val="Compact"/>
        <w:numPr>
          <w:ilvl w:val="0"/>
          <w:numId w:val="1002"/>
        </w:numPr>
      </w:pPr>
      <w:r>
        <w:t xml:space="preserve">другие пользователи (Д);</w:t>
      </w:r>
    </w:p>
    <w:p>
      <w:pPr>
        <w:pStyle w:val="Compact"/>
        <w:numPr>
          <w:ilvl w:val="0"/>
          <w:numId w:val="1002"/>
        </w:numPr>
      </w:pPr>
      <w:r>
        <w:t xml:space="preserve">предполагается, что на территории «Донская» будут располагаться:</w:t>
      </w:r>
    </w:p>
    <w:p>
      <w:pPr>
        <w:pStyle w:val="Compact"/>
        <w:numPr>
          <w:ilvl w:val="0"/>
          <w:numId w:val="1002"/>
        </w:numPr>
      </w:pPr>
      <w:r>
        <w:t xml:space="preserve">устройства управления сетью;</w:t>
      </w:r>
    </w:p>
    <w:p>
      <w:pPr>
        <w:pStyle w:val="Compact"/>
        <w:numPr>
          <w:ilvl w:val="0"/>
          <w:numId w:val="1002"/>
        </w:numPr>
      </w:pPr>
      <w:r>
        <w:t xml:space="preserve">серверная инфраструктура;</w:t>
      </w:r>
    </w:p>
    <w:p>
      <w:pPr>
        <w:pStyle w:val="Compact"/>
        <w:numPr>
          <w:ilvl w:val="0"/>
          <w:numId w:val="1002"/>
        </w:numPr>
      </w:pPr>
      <w:r>
        <w:t xml:space="preserve">оборудование всех групп пользователей;</w:t>
      </w:r>
    </w:p>
    <w:p>
      <w:pPr>
        <w:pStyle w:val="Compact"/>
        <w:numPr>
          <w:ilvl w:val="0"/>
          <w:numId w:val="1002"/>
        </w:numPr>
      </w:pPr>
      <w:r>
        <w:t xml:space="preserve">предполагается, что на территории «Павловская» будет располагаться оборудование групп пользователей «ДК» и «Д».</w:t>
      </w:r>
    </w:p>
    <w:p>
      <w:pPr>
        <w:pStyle w:val="FirstParagraph"/>
      </w:pPr>
      <w:r>
        <w:t xml:space="preserve">Сеть организации должна соответствовать так называемой «иерархической модели сети», т.е. оборудование сетевой инфраструктуры при планировании должно быть распределено по трём уровням:</w:t>
      </w:r>
    </w:p>
    <w:p>
      <w:pPr>
        <w:pStyle w:val="Compact"/>
        <w:numPr>
          <w:ilvl w:val="0"/>
          <w:numId w:val="1003"/>
        </w:numPr>
      </w:pPr>
      <w:r>
        <w:t xml:space="preserve">уровень ядра (Core Layer) — высокопроизводительные сетевые устройства (коммутаторы, маршрутизаторы), обеспечивающие скоростную передачу трафика между сегментами уровня распределения;</w:t>
      </w:r>
    </w:p>
    <w:p>
      <w:pPr>
        <w:pStyle w:val="Compact"/>
        <w:numPr>
          <w:ilvl w:val="0"/>
          <w:numId w:val="1003"/>
        </w:numPr>
      </w:pPr>
      <w:r>
        <w:t xml:space="preserve">уровень распределения (Distribution Layer) — устройства (коммутаторы, маршрутизаторы), обеспечивающие применение политик безопасности и качества обслуживания (QoS), агрегацию и маршрутизацию трафика посредством VLAN, определение широковещательных доменов;</w:t>
      </w:r>
    </w:p>
    <w:p>
      <w:pPr>
        <w:pStyle w:val="Compact"/>
        <w:numPr>
          <w:ilvl w:val="0"/>
          <w:numId w:val="1003"/>
        </w:numPr>
      </w:pPr>
      <w:r>
        <w:t xml:space="preserve">уровень доступа (Access Layer) — устройства для подключения серверов и оконечного оборудования пользователей к сети организации.</w:t>
      </w:r>
    </w:p>
    <w:p>
      <w:pPr>
        <w:pStyle w:val="FirstParagraph"/>
      </w:pPr>
      <w:r>
        <w:t xml:space="preserve">Далее при проектировании сети необходимо:</w:t>
      </w:r>
    </w:p>
    <w:p>
      <w:pPr>
        <w:pStyle w:val="Compact"/>
        <w:numPr>
          <w:ilvl w:val="0"/>
          <w:numId w:val="1004"/>
        </w:numPr>
      </w:pPr>
      <w:r>
        <w:t xml:space="preserve">разработать схемы сети, соответствующие физическому, канальному и сетевому уровням эталонной модели взаимодействия открытых систем (OSI);</w:t>
      </w:r>
    </w:p>
    <w:p>
      <w:pPr>
        <w:pStyle w:val="Compact"/>
        <w:numPr>
          <w:ilvl w:val="0"/>
          <w:numId w:val="1004"/>
        </w:numPr>
      </w:pPr>
      <w:r>
        <w:t xml:space="preserve">составить план IP-адресация сети;</w:t>
      </w:r>
    </w:p>
    <w:p>
      <w:pPr>
        <w:pStyle w:val="Compact"/>
        <w:numPr>
          <w:ilvl w:val="0"/>
          <w:numId w:val="1004"/>
        </w:numPr>
      </w:pPr>
      <w:r>
        <w:t xml:space="preserve">составить план VLAN сети;</w:t>
      </w:r>
    </w:p>
    <w:p>
      <w:pPr>
        <w:pStyle w:val="Compact"/>
        <w:numPr>
          <w:ilvl w:val="0"/>
          <w:numId w:val="1004"/>
        </w:numPr>
      </w:pPr>
      <w:r>
        <w:t xml:space="preserve">составить план подключения интерфейсов оборудования;</w:t>
      </w:r>
    </w:p>
    <w:p>
      <w:pPr>
        <w:pStyle w:val="Compact"/>
        <w:numPr>
          <w:ilvl w:val="0"/>
          <w:numId w:val="1004"/>
        </w:numPr>
      </w:pPr>
      <w:r>
        <w:t xml:space="preserve">зафиксировать перечень устройств, используемых в сети организации, с указанием модели, версии операционной системы, объёма RAM/NVRAM, списка интерфейсов;</w:t>
      </w:r>
    </w:p>
    <w:p>
      <w:pPr>
        <w:pStyle w:val="Compact"/>
        <w:numPr>
          <w:ilvl w:val="0"/>
          <w:numId w:val="1004"/>
        </w:numPr>
      </w:pPr>
      <w:r>
        <w:t xml:space="preserve">обеспечить маркировку всех задействованных как сетевых и других типов кабелей (откуда и куда идёт), так и устройств сети;</w:t>
      </w:r>
    </w:p>
    <w:p>
      <w:pPr>
        <w:pStyle w:val="Compact"/>
        <w:numPr>
          <w:ilvl w:val="0"/>
          <w:numId w:val="1004"/>
        </w:numPr>
      </w:pPr>
      <w:r>
        <w:t xml:space="preserve">разработать и внедрить единый регламент эксплуатации сети.</w:t>
      </w:r>
    </w:p>
    <w:p>
      <w:pPr>
        <w:pStyle w:val="FirstParagraph"/>
      </w:pPr>
      <w:r>
        <w:t xml:space="preserve">##3.3. Схемы сети</w:t>
      </w:r>
      <w:r>
        <w:t xml:space="preserve"> </w:t>
      </w:r>
      <w:r>
        <w:t xml:space="preserve">Примерная схема планируемой сети с указанием типов и номеров портов подключения устройств, соответствующая физическому уровню модели OSI (L1), будет иметь вид, изображённый на рис. 3.1.</w:t>
      </w:r>
    </w:p>
    <w:p>
      <w:pPr>
        <w:pStyle w:val="BodyText"/>
      </w:pPr>
      <w:r>
        <w:t xml:space="preserve">Рис. 3.1. Физические устройства сети с номерами портов (Layer 1)</w:t>
      </w:r>
    </w:p>
    <w:p>
      <w:pPr>
        <w:pStyle w:val="BodyText"/>
      </w:pPr>
      <w:r>
        <w:t xml:space="preserve">В качестве оборудования уровня ядра будем использовать маршрутизатор Cisco 2811, на уровне распределения — коммутаторы Cisco 2960 с возможностью настройки VLAN, а на уровне доступа — коммутаторы Cisco 2950. Далее следует спланировать распределение VLAN. Рекомендуется выделять в отдельные подсети (VLAN) устройства управления сетью, а также различные</w:t>
      </w:r>
      <w:r>
        <w:t xml:space="preserve"> </w:t>
      </w:r>
      <w:r>
        <w:t xml:space="preserve">группы пользователей (см. табл. 3.1).</w:t>
      </w:r>
    </w:p>
    <w:p>
      <w:pPr>
        <w:pStyle w:val="BodyText"/>
      </w:pPr>
      <w:r>
        <w:t xml:space="preserve">Далее необходимо определить адресное пространство, ассоциированное с выделенными VLAN. Примерная схема сети, соответствующая сетевому уровню модели OSI (L3), будет иметь вид, изображённый на рис. 3.3.</w:t>
      </w:r>
    </w:p>
    <w:p>
      <w:pPr>
        <w:pStyle w:val="BodyText"/>
      </w:pPr>
      <w:r>
        <w:t xml:space="preserve">Рис. 3.3. Схема маршрутизации сети (Layer 3)</w:t>
      </w:r>
    </w:p>
    <w:p>
      <w:pPr>
        <w:pStyle w:val="BodyText"/>
      </w:pPr>
      <w:r>
        <w:t xml:space="preserve">Более детальное распределение IP-адресов [4] в сети представлено в табл. 3.2.</w:t>
      </w:r>
      <w:r>
        <w:t xml:space="preserve"> </w:t>
      </w:r>
      <w:r>
        <w:t xml:space="preserve">При планировании IP-адресация (разбиении адресного пространства сети на подсети) следует учитывать потенциальное количество устройств подсети, а также возможность увеличения их числа. В табл. 3.3 приведён план подключения оборудования сети по портам.</w:t>
      </w:r>
    </w:p>
    <w:p>
      <w:pPr>
        <w:pStyle w:val="BodyText"/>
      </w:pPr>
      <w:r>
        <w:t xml:space="preserve">Регламент выделения ip-адресов дан в табл. 3.4.</w:t>
      </w:r>
      <w:r>
        <w:t xml:space="preserve"> </w:t>
      </w:r>
      <w:r>
        <w:t xml:space="preserve">Таблица 3.4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2-19</w:t>
            </w:r>
          </w:p>
        </w:tc>
        <w:tc>
          <w:tcPr/>
          <w:p>
            <w:pPr>
              <w:pStyle w:val="Compac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20-29</w:t>
            </w:r>
          </w:p>
        </w:tc>
        <w:tc>
          <w:tcPr/>
          <w:p>
            <w:pPr>
              <w:pStyle w:val="Compac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30-199</w:t>
            </w:r>
          </w:p>
        </w:tc>
        <w:tc>
          <w:tcPr/>
          <w:p>
            <w:pPr>
              <w:pStyle w:val="Compact"/>
            </w:pPr>
            <w:r>
              <w:t xml:space="preserve">Компьютеры,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200-219</w:t>
            </w:r>
          </w:p>
        </w:tc>
        <w:tc>
          <w:tcPr/>
          <w:p>
            <w:pPr>
              <w:pStyle w:val="Compact"/>
            </w:pPr>
            <w:r>
              <w:t xml:space="preserve">Компьютеры, 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220-229</w:t>
            </w:r>
          </w:p>
        </w:tc>
        <w:tc>
          <w:tcPr/>
          <w:p>
            <w:pPr>
              <w:pStyle w:val="Compac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230-254</w:t>
            </w:r>
          </w:p>
        </w:tc>
        <w:tc>
          <w:tcPr/>
          <w:p>
            <w:pPr>
              <w:pStyle w:val="Compact"/>
            </w:pPr>
            <w:r>
              <w:t xml:space="preserve">Резерв</w:t>
            </w:r>
          </w:p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2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5"/>
        </w:numPr>
      </w:pPr>
      <w:r>
        <w:t xml:space="preserve">Используя графический редактор (например, Dia), требуется повторить схемы L1, L2, L3, а также сопутствующие им таблицы VLAN, IP-адресов и портов подключения оборудования планируемой сети.</w:t>
      </w:r>
      <w:r>
        <w:t xml:space="preserve"> </w:t>
      </w:r>
      <w:bookmarkStart w:id="26" w:name="fig:001"/>
      <w:r>
        <w:drawing>
          <wp:inline>
            <wp:extent cx="3733800" cy="2393887"/>
            <wp:effectExtent b="0" l="0" r="0" t="0"/>
            <wp:docPr descr="L1" title="" id="24" name="Picture"/>
            <a:graphic>
              <a:graphicData uri="http://schemas.openxmlformats.org/drawingml/2006/picture">
                <pic:pic>
                  <pic:nvPicPr>
                    <pic:cNvPr descr="image/img_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002"/>
      <w:r>
        <w:drawing>
          <wp:inline>
            <wp:extent cx="3733800" cy="2674961"/>
            <wp:effectExtent b="0" l="0" r="0" t="0"/>
            <wp:docPr descr="L2" title="" id="28" name="Picture"/>
            <a:graphic>
              <a:graphicData uri="http://schemas.openxmlformats.org/drawingml/2006/picture">
                <pic:pic>
                  <pic:nvPicPr>
                    <pic:cNvPr descr="image/img_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3"/>
      <w:r>
        <w:drawing>
          <wp:inline>
            <wp:extent cx="3733800" cy="2392314"/>
            <wp:effectExtent b="0" l="0" r="0" t="0"/>
            <wp:docPr descr="L3" title="" id="32" name="Picture"/>
            <a:graphic>
              <a:graphicData uri="http://schemas.openxmlformats.org/drawingml/2006/picture">
                <pic:pic>
                  <pic:nvPicPr>
                    <pic:cNvPr descr="image/img_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5"/>
        </w:numPr>
      </w:pPr>
      <w:r>
        <w:t xml:space="preserve">Рассмотренный выше пример планирования адресного пространства сети базируется на разбиении сети 10.128.0.0/16 на соответствующие подсети.</w:t>
      </w:r>
      <w:r>
        <w:t xml:space="preserve"> </w:t>
      </w:r>
      <w:r>
        <w:t xml:space="preserve">Требуется сделать аналогичный план адресного пространства для сетей 172.16.0.0/12 и 192.168.0.0/16 с соответствующими схемами сети и сопутствующими таблицами VLAN, IP-адресов и портов подключения оборудования.</w:t>
      </w:r>
      <w:r>
        <w:t xml:space="preserve"> </w:t>
      </w:r>
      <w:bookmarkStart w:id="37" w:name="fig:004"/>
      <w:r>
        <w:drawing>
          <wp:inline>
            <wp:extent cx="3733800" cy="2393887"/>
            <wp:effectExtent b="0" l="0" r="0" t="0"/>
            <wp:docPr descr="L1" title="" id="35" name="Picture"/>
            <a:graphic>
              <a:graphicData uri="http://schemas.openxmlformats.org/drawingml/2006/picture">
                <pic:pic>
                  <pic:nvPicPr>
                    <pic:cNvPr descr="image/img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0" w:name="fig:005"/>
      <w:r>
        <w:drawing>
          <wp:inline>
            <wp:extent cx="3733800" cy="2674961"/>
            <wp:effectExtent b="0" l="0" r="0" t="0"/>
            <wp:docPr descr="L2" title="" id="38" name="Picture"/>
            <a:graphic>
              <a:graphicData uri="http://schemas.openxmlformats.org/drawingml/2006/picture">
                <pic:pic>
                  <pic:nvPicPr>
                    <pic:cNvPr descr="image/img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bookmarkStart w:id="43" w:name="fig:006"/>
      <w:r>
        <w:drawing>
          <wp:inline>
            <wp:extent cx="3733800" cy="2392314"/>
            <wp:effectExtent b="0" l="0" r="0" t="0"/>
            <wp:docPr descr="L3" title="" id="41" name="Picture"/>
            <a:graphic>
              <a:graphicData uri="http://schemas.openxmlformats.org/drawingml/2006/picture">
                <pic:pic>
                  <pic:nvPicPr>
                    <pic:cNvPr descr="image/img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  <w:r>
        <w:t xml:space="preserve"> </w:t>
      </w:r>
      <w:bookmarkStart w:id="47" w:name="fig:007"/>
      <w:r>
        <w:drawing>
          <wp:inline>
            <wp:extent cx="3733800" cy="2395267"/>
            <wp:effectExtent b="0" l="0" r="0" t="0"/>
            <wp:docPr descr="L3 172.16.0.0/12" title="" id="45" name="Picture"/>
            <a:graphic>
              <a:graphicData uri="http://schemas.openxmlformats.org/drawingml/2006/picture">
                <pic:pic>
                  <pic:nvPicPr>
                    <pic:cNvPr descr="image/img_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  <w:bookmarkStart w:id="51" w:name="fig:008"/>
      <w:r>
        <w:drawing>
          <wp:inline>
            <wp:extent cx="3733800" cy="2388888"/>
            <wp:effectExtent b="0" l="0" r="0" t="0"/>
            <wp:docPr descr="L3 192.168.0.0/16" title="" id="49" name="Picture"/>
            <a:graphic>
              <a:graphicData uri="http://schemas.openxmlformats.org/drawingml/2006/picture">
                <pic:pic>
                  <pic:nvPicPr>
                    <pic:cNvPr descr="image/img_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</w:pPr>
      <w:bookmarkStart w:id="55" w:name="fig:009"/>
      <w:r>
        <w:drawing>
          <wp:inline>
            <wp:extent cx="3733800" cy="1279448"/>
            <wp:effectExtent b="0" l="0" r="0" t="0"/>
            <wp:docPr descr="Таблицы 10.128.0.0/16" title="" id="53" name="Picture"/>
            <a:graphic>
              <a:graphicData uri="http://schemas.openxmlformats.org/drawingml/2006/picture">
                <pic:pic>
                  <pic:nvPicPr>
                    <pic:cNvPr descr="image/img_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bookmarkStart w:id="59" w:name="fig:010"/>
      <w:r>
        <w:drawing>
          <wp:inline>
            <wp:extent cx="3733800" cy="1256778"/>
            <wp:effectExtent b="0" l="0" r="0" t="0"/>
            <wp:docPr descr="Таблицы 172.16.0.0/12" title="" id="57" name="Picture"/>
            <a:graphic>
              <a:graphicData uri="http://schemas.openxmlformats.org/drawingml/2006/picture">
                <pic:pic>
                  <pic:nvPicPr>
                    <pic:cNvPr descr="image/img_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bookmarkStart w:id="63" w:name="fig:011"/>
      <w:r>
        <w:drawing>
          <wp:inline>
            <wp:extent cx="3733800" cy="1257649"/>
            <wp:effectExtent b="0" l="0" r="0" t="0"/>
            <wp:docPr descr="Таблицы 192.168.0.0/16" title="" id="61" name="Picture"/>
            <a:graphic>
              <a:graphicData uri="http://schemas.openxmlformats.org/drawingml/2006/picture">
                <pic:pic>
                  <pic:nvPicPr>
                    <pic:cNvPr descr="image/img_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5"/>
        </w:numPr>
      </w:pPr>
      <w:r>
        <w:t xml:space="preserve">При выполнении работы необходимо учитывать соглашение об именовании (см. раздел 2.5).</w:t>
      </w:r>
      <w:r>
        <w:t xml:space="preserve"> </w:t>
      </w:r>
      <w:r>
        <w:t xml:space="preserve">(рис.</w:t>
      </w:r>
      <w:r>
        <w:t xml:space="preserve"> </w:t>
      </w:r>
      <w:r>
        <w:rPr>
          <w:b/>
          <w:bCs/>
        </w:rPr>
        <w:t xml:space="preserve">¿fig:001?</w:t>
      </w:r>
      <w:r>
        <w:t xml:space="preserve">).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Познакомился с принципами планирования локальной сети организации.</w:t>
      </w:r>
    </w:p>
    <w:bookmarkEnd w:id="65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bookmarkStart w:id="66" w:name="X61f5dc77dcb829a1cffd5eb786c69f261cb641c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1. Модель взаимодействия открытых систем (OSI)</w:t>
      </w:r>
    </w:p>
    <w:p>
      <w:pPr>
        <w:pStyle w:val="FirstParagraph"/>
      </w:pPr>
      <w:r>
        <w:t xml:space="preserve">Модель OSI (Open Systems Interconnection) — концептуальная модель, описывающая, как различные сетевые устройства взаимодействуют между собой. Она разделена на 7 уровней, каждый из которых выполняет определённые функции: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Прикладной (Application)</w:t>
            </w:r>
          </w:p>
        </w:tc>
        <w:tc>
          <w:tcPr/>
          <w:p>
            <w:pPr>
              <w:pStyle w:val="Compact"/>
            </w:pPr>
            <w:r>
              <w:t xml:space="preserve">Обеспечивает интерфейс взаимодействия приложений с сетью (HTTP, FTP, SMTP, DNS).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Представительный (Presentation)</w:t>
            </w:r>
          </w:p>
        </w:tc>
        <w:tc>
          <w:tcPr/>
          <w:p>
            <w:pPr>
              <w:pStyle w:val="Compact"/>
            </w:pPr>
            <w:r>
              <w:t xml:space="preserve">Кодирование, шифрование, сжатие данных (TLS, JPEG, ASCII).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Сеансовый (Session)</w:t>
            </w:r>
          </w:p>
        </w:tc>
        <w:tc>
          <w:tcPr/>
          <w:p>
            <w:pPr>
              <w:pStyle w:val="Compact"/>
            </w:pPr>
            <w:r>
              <w:t xml:space="preserve">Управление сессиями (установление, поддержание, завершение). Протоколы: NetBIOS, RPC.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Транспортный (Transport)</w:t>
            </w:r>
          </w:p>
        </w:tc>
        <w:tc>
          <w:tcPr/>
          <w:p>
            <w:pPr>
              <w:pStyle w:val="Compact"/>
            </w:pPr>
            <w:r>
              <w:t xml:space="preserve">Разбиение данных на сегменты, контроль потока, проверка целостности (TCP, UDP).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Сетевой (Network)</w:t>
            </w:r>
          </w:p>
        </w:tc>
        <w:tc>
          <w:tcPr/>
          <w:p>
            <w:pPr>
              <w:pStyle w:val="Compact"/>
            </w:pPr>
            <w:r>
              <w:t xml:space="preserve">Определение маршрута и логическая адресация (IP, ICMP).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Канальный (Data Link)</w:t>
            </w:r>
          </w:p>
        </w:tc>
        <w:tc>
          <w:tcPr/>
          <w:p>
            <w:pPr>
              <w:pStyle w:val="Compact"/>
            </w:pPr>
            <w:r>
              <w:t xml:space="preserve">Физическая адресация (MAC), контроль ошибок, управление доступом к среде (Ethernet, Wi-Fi).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Физический (Physial)</w:t>
            </w:r>
          </w:p>
        </w:tc>
        <w:tc>
          <w:tcPr/>
          <w:p>
            <w:pPr>
              <w:pStyle w:val="Compact"/>
            </w:pPr>
            <w:r>
              <w:t xml:space="preserve">Передача битов по среде (кабели, волны, электрические сигналы).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функции-коммутатора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 Функции коммутатора</w:t>
      </w:r>
    </w:p>
    <w:p>
      <w:pPr>
        <w:pStyle w:val="FirstParagraph"/>
      </w:pPr>
      <w:r>
        <w:t xml:space="preserve">Коммутатор (switch) работает на канальном уровне (2 уровень OSI) и выполняет следующие функции:</w:t>
      </w:r>
    </w:p>
    <w:p>
      <w:pPr>
        <w:pStyle w:val="Compact"/>
        <w:numPr>
          <w:ilvl w:val="0"/>
          <w:numId w:val="1006"/>
        </w:numPr>
      </w:pPr>
      <w:r>
        <w:t xml:space="preserve">Коммутация пакетов на основе MAC-адресов.</w:t>
      </w:r>
    </w:p>
    <w:p>
      <w:pPr>
        <w:pStyle w:val="Compact"/>
        <w:numPr>
          <w:ilvl w:val="0"/>
          <w:numId w:val="1006"/>
        </w:numPr>
      </w:pPr>
      <w:r>
        <w:t xml:space="preserve">Обучение MAC-адресов и построение таблицы коммутации.</w:t>
      </w:r>
    </w:p>
    <w:p>
      <w:pPr>
        <w:pStyle w:val="Compact"/>
        <w:numPr>
          <w:ilvl w:val="0"/>
          <w:numId w:val="1006"/>
        </w:numPr>
      </w:pPr>
      <w:r>
        <w:t xml:space="preserve">Сегментация сети для уменьшения коллизий.</w:t>
      </w:r>
    </w:p>
    <w:p>
      <w:pPr>
        <w:pStyle w:val="Compact"/>
        <w:numPr>
          <w:ilvl w:val="0"/>
          <w:numId w:val="1006"/>
        </w:numPr>
      </w:pPr>
      <w:r>
        <w:t xml:space="preserve">Поддержка VLAN (в зависимости от модели).</w:t>
      </w:r>
    </w:p>
    <w:p>
      <w:pPr>
        <w:pStyle w:val="Compact"/>
        <w:numPr>
          <w:ilvl w:val="0"/>
          <w:numId w:val="1006"/>
        </w:numPr>
      </w:pPr>
      <w:r>
        <w:t xml:space="preserve">Возможность работы в различных режимах (Store-and-Forward, Cut-Through и др.).</w:t>
      </w:r>
    </w:p>
    <w:p>
      <w:r>
        <w:pict>
          <v:rect style="width:0;height:1.5pt" o:hralign="center" o:hrstd="t" o:hr="t"/>
        </w:pict>
      </w:r>
    </w:p>
    <w:bookmarkEnd w:id="67"/>
    <w:bookmarkStart w:id="68" w:name="функции-маршрутизатора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3. Функции маршрутизатора</w:t>
      </w:r>
    </w:p>
    <w:p>
      <w:pPr>
        <w:pStyle w:val="FirstParagraph"/>
      </w:pPr>
      <w:r>
        <w:t xml:space="preserve">Маршрутизатор (router) работает на сетевом уровне (3 уровень OSI) и выполняет:</w:t>
      </w:r>
    </w:p>
    <w:p>
      <w:pPr>
        <w:pStyle w:val="Compact"/>
        <w:numPr>
          <w:ilvl w:val="0"/>
          <w:numId w:val="1007"/>
        </w:numPr>
      </w:pPr>
      <w:r>
        <w:t xml:space="preserve">Определение оптимального маршрута передачи данных.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IP-адресов для маршрутизации.</w:t>
      </w:r>
    </w:p>
    <w:p>
      <w:pPr>
        <w:pStyle w:val="Compact"/>
        <w:numPr>
          <w:ilvl w:val="0"/>
          <w:numId w:val="1007"/>
        </w:numPr>
      </w:pPr>
      <w:r>
        <w:t xml:space="preserve">Разделение широковещательных доменов.</w:t>
      </w:r>
    </w:p>
    <w:p>
      <w:pPr>
        <w:pStyle w:val="Compact"/>
        <w:numPr>
          <w:ilvl w:val="0"/>
          <w:numId w:val="1007"/>
        </w:numPr>
      </w:pPr>
      <w:r>
        <w:t xml:space="preserve">Подключение разных сетей, включая сети с разными технологиями.</w:t>
      </w:r>
    </w:p>
    <w:p>
      <w:pPr>
        <w:pStyle w:val="Compact"/>
        <w:numPr>
          <w:ilvl w:val="0"/>
          <w:numId w:val="1007"/>
        </w:numPr>
      </w:pPr>
      <w:r>
        <w:t xml:space="preserve">Поддержка протоколов маршрутизации (OSPF, BGP, RIP).</w:t>
      </w:r>
    </w:p>
    <w:p>
      <w:pPr>
        <w:pStyle w:val="Compact"/>
        <w:numPr>
          <w:ilvl w:val="0"/>
          <w:numId w:val="1007"/>
        </w:numPr>
      </w:pPr>
      <w:r>
        <w:t xml:space="preserve">NAT (Network Address Translation) для работы с частными IP-адресами.</w:t>
      </w:r>
    </w:p>
    <w:p>
      <w:r>
        <w:pict>
          <v:rect style="width:0;height:1.5pt" o:hralign="center" o:hrstd="t" o:hr="t"/>
        </w:pict>
      </w:r>
    </w:p>
    <w:bookmarkEnd w:id="68"/>
    <w:bookmarkStart w:id="69" w:name="X9a70d3d7cc483bc42c513d46918c1f0d18d2450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 Отличия коммутаторов 3-го уровня от коммутаторов 2-го уровня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Коммутатор 2 уровня</w:t>
            </w:r>
          </w:p>
        </w:tc>
        <w:tc>
          <w:tcPr/>
          <w:p>
            <w:pPr>
              <w:pStyle w:val="Compact"/>
            </w:pPr>
            <w:r>
              <w:t xml:space="preserve">Коммутатор 3 уровня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OSI</w:t>
            </w:r>
          </w:p>
        </w:tc>
        <w:tc>
          <w:tcPr/>
          <w:p>
            <w:pPr>
              <w:pStyle w:val="Compact"/>
            </w:pPr>
            <w:r>
              <w:t xml:space="preserve">2 (канальный)</w:t>
            </w:r>
          </w:p>
        </w:tc>
        <w:tc>
          <w:tcPr/>
          <w:p>
            <w:pPr>
              <w:pStyle w:val="Compact"/>
            </w:pPr>
            <w:r>
              <w:t xml:space="preserve">3 (сетевой)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Маршрутизация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(IP-адреса)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MAC-адресами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с IP-адресами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Таблица коммутации</w:t>
            </w:r>
          </w:p>
        </w:tc>
        <w:tc>
          <w:tcPr/>
          <w:p>
            <w:pPr>
              <w:pStyle w:val="Compact"/>
            </w:pPr>
            <w:r>
              <w:t xml:space="preserve">МAC-адреса</w:t>
            </w:r>
          </w:p>
        </w:tc>
        <w:tc>
          <w:tcPr/>
          <w:p>
            <w:pPr>
              <w:pStyle w:val="Compact"/>
            </w:pPr>
            <w:r>
              <w:t xml:space="preserve">MAC- и IP-адреса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Поддерживает</w:t>
            </w:r>
          </w:p>
        </w:tc>
        <w:tc>
          <w:tcPr/>
          <w:p>
            <w:pPr>
              <w:pStyle w:val="Compact"/>
            </w:pPr>
            <w:r>
              <w:t xml:space="preserve">Поддерживает и маршрутизирует между 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Широковещательный домен</w:t>
            </w:r>
          </w:p>
        </w:tc>
        <w:tc>
          <w:tcPr/>
          <w:p>
            <w:pPr>
              <w:pStyle w:val="Compact"/>
            </w:pPr>
            <w:r>
              <w:t xml:space="preserve">Один на VLAN</w:t>
            </w:r>
          </w:p>
        </w:tc>
        <w:tc>
          <w:tcPr/>
          <w:p>
            <w:pPr>
              <w:pStyle w:val="Compact"/>
            </w:pPr>
            <w:r>
              <w:t xml:space="preserve">Может разделять</w:t>
            </w:r>
          </w:p>
        </w:tc>
      </w:tr>
    </w:tbl>
    <w:p>
      <w:pPr>
        <w:pStyle w:val="BodyText"/>
      </w:pPr>
      <w:r>
        <w:t xml:space="preserve">Коммутаторы 3-го уровня могут выполнять функции маршрутизатора, но с большей скоростью обработки пакетов, поскольку используют аппаратную коммутацию.</w:t>
      </w:r>
    </w:p>
    <w:bookmarkEnd w:id="69"/>
    <w:bookmarkEnd w:id="70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Start w:id="71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71"/>
    <w:bookmarkStart w:id="72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72"/>
    <w:bookmarkStart w:id="73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73"/>
    <w:bookmarkStart w:id="75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7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74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Поляков Глеб Сергеевич</dc:creator>
  <dc:language>ru-RU</dc:language>
  <cp:keywords/>
  <dcterms:created xsi:type="dcterms:W3CDTF">2025-03-01T17:25:18Z</dcterms:created>
  <dcterms:modified xsi:type="dcterms:W3CDTF">2025-03-01T17:25:18Z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Планирование локальной сети организации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