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№4.</w:t>
      </w:r>
    </w:p>
    <w:p>
      <w:pPr>
        <w:pStyle w:val="Subtitle"/>
      </w:pPr>
      <w:r>
        <w:t xml:space="preserve">Первоначальное конфигурирование сети</w:t>
      </w:r>
    </w:p>
    <w:p>
      <w:pPr>
        <w:pStyle w:val="Author"/>
      </w:pPr>
      <w:r>
        <w:t xml:space="preserve">Полякоа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сделать первоначальную настройку коммутаторов сети, представленной на схеме L1 (см. рис. 3.1 из раздела 3.3). Под первоначальной настройкой понимается указание имени устройства, его IP-адреса, настройка доступа по паролю к виртуальным терминалам и консоли, настройка удалённого доступа к устройству по ssh.</w:t>
      </w:r>
      <w:r>
        <w:t xml:space="preserve"> </w:t>
      </w: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рабочей области Packet Tracer разместите коммутаторы и оконечные устройства согласно схеме сети L1 (см. рис. 3.1 из раздела 3.3) и соедините их через соответствующие интерфейсы 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).</w:t>
      </w:r>
      <w:r>
        <w:t xml:space="preserve"> </w:t>
      </w:r>
      <w:bookmarkStart w:id="25" w:name="fig:001"/>
      <w:r>
        <w:drawing>
          <wp:inline>
            <wp:extent cx="3733800" cy="2223668"/>
            <wp:effectExtent b="0" l="0" r="0" t="0"/>
            <wp:docPr descr="Первоначальная конфигурация сети" title="" id="23" name="Picture"/>
            <a:graphic>
              <a:graphicData uri="http://schemas.openxmlformats.org/drawingml/2006/picture">
                <pic:pic>
                  <pic:nvPicPr>
                    <pic:cNvPr descr="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1"/>
        </w:numPr>
      </w:pPr>
      <w:r>
        <w:t xml:space="preserve">Используя типовую конфигурацию коммутатора (см. пример 4.1), настройте все коммутаторы, изменяя название устройства и его IP-адрес согласно плану IP (см. табл. 3.2 из раздела 3.3).</w:t>
      </w:r>
    </w:p>
    <w:p>
      <w:pPr>
        <w:pStyle w:val="FirstParagraph"/>
      </w:pPr>
      <w:bookmarkStart w:id="29" w:name="fig:002"/>
      <w:r>
        <w:drawing>
          <wp:inline>
            <wp:extent cx="3733800" cy="4703999"/>
            <wp:effectExtent b="0" l="0" r="0" t="0"/>
            <wp:docPr descr="Конфигурация msk-donskaya-gspolyakov-sw-1 1" title="" id="27" name="Picture"/>
            <a:graphic>
              <a:graphicData uri="http://schemas.openxmlformats.org/drawingml/2006/picture">
                <pic:pic>
                  <pic:nvPicPr>
                    <pic:cNvPr descr="image/img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bookmarkStart w:id="33" w:name="fig:003"/>
      <w:r>
        <w:drawing>
          <wp:inline>
            <wp:extent cx="3733800" cy="2376905"/>
            <wp:effectExtent b="0" l="0" r="0" t="0"/>
            <wp:docPr descr="Конфигурация msk-donskaya-gspolyakov-sw-1 2" title="" id="31" name="Picture"/>
            <a:graphic>
              <a:graphicData uri="http://schemas.openxmlformats.org/drawingml/2006/picture">
                <pic:pic>
                  <pic:nvPicPr>
                    <pic:cNvPr descr="image/img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  <w:r>
        <w:t xml:space="preserve"> </w:t>
      </w:r>
      <w:bookmarkStart w:id="37" w:name="fig:004"/>
      <w:r>
        <w:drawing>
          <wp:inline>
            <wp:extent cx="3733800" cy="3665200"/>
            <wp:effectExtent b="0" l="0" r="0" t="0"/>
            <wp:docPr descr="Конфигурация msk-donskaya-gspolyakov-sw-2 1" title="" id="35" name="Picture"/>
            <a:graphic>
              <a:graphicData uri="http://schemas.openxmlformats.org/drawingml/2006/picture">
                <pic:pic>
                  <pic:nvPicPr>
                    <pic:cNvPr descr="image/img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bookmarkStart w:id="41" w:name="fig:005"/>
      <w:r>
        <w:drawing>
          <wp:inline>
            <wp:extent cx="3733800" cy="3088105"/>
            <wp:effectExtent b="0" l="0" r="0" t="0"/>
            <wp:docPr descr="Конфигурация msk-donskaya-gspolyakov-sw-2 2" title="" id="39" name="Picture"/>
            <a:graphic>
              <a:graphicData uri="http://schemas.openxmlformats.org/drawingml/2006/picture">
                <pic:pic>
                  <pic:nvPicPr>
                    <pic:cNvPr descr="image/img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8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  <w:r>
        <w:t xml:space="preserve"> </w:t>
      </w:r>
      <w:bookmarkStart w:id="45" w:name="fig:006"/>
      <w:r>
        <w:drawing>
          <wp:inline>
            <wp:extent cx="3733800" cy="4672036"/>
            <wp:effectExtent b="0" l="0" r="0" t="0"/>
            <wp:docPr descr="Конфигурация msk-donskaya-gspolyakov-sw-3 1" title="" id="43" name="Picture"/>
            <a:graphic>
              <a:graphicData uri="http://schemas.openxmlformats.org/drawingml/2006/picture">
                <pic:pic>
                  <pic:nvPicPr>
                    <pic:cNvPr descr="image/img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72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  <w:r>
        <w:t xml:space="preserve"> </w:t>
      </w:r>
      <w:bookmarkStart w:id="49" w:name="fig:007"/>
      <w:r>
        <w:drawing>
          <wp:inline>
            <wp:extent cx="3733800" cy="1646701"/>
            <wp:effectExtent b="0" l="0" r="0" t="0"/>
            <wp:docPr descr="Конфигурация msk-donskaya-gspolyakov-sw-3 2" title="" id="47" name="Picture"/>
            <a:graphic>
              <a:graphicData uri="http://schemas.openxmlformats.org/drawingml/2006/picture">
                <pic:pic>
                  <pic:nvPicPr>
                    <pic:cNvPr descr="image/img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  <w:r>
        <w:t xml:space="preserve"> </w:t>
      </w:r>
      <w:bookmarkStart w:id="53" w:name="fig:008"/>
      <w:r>
        <w:drawing>
          <wp:inline>
            <wp:extent cx="3733800" cy="3913983"/>
            <wp:effectExtent b="0" l="0" r="0" t="0"/>
            <wp:docPr descr="Конфигурация msk-donskaya-gspolyakov-sw-4 1" title="" id="51" name="Picture"/>
            <a:graphic>
              <a:graphicData uri="http://schemas.openxmlformats.org/drawingml/2006/picture">
                <pic:pic>
                  <pic:nvPicPr>
                    <pic:cNvPr descr="image/img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3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  <w:r>
        <w:t xml:space="preserve"> </w:t>
      </w:r>
      <w:bookmarkStart w:id="57" w:name="fig:009"/>
      <w:r>
        <w:drawing>
          <wp:inline>
            <wp:extent cx="3733800" cy="1978356"/>
            <wp:effectExtent b="0" l="0" r="0" t="0"/>
            <wp:docPr descr="Конфигурация msk-donskaya-gspolyakov-sw-4 2" title="" id="55" name="Picture"/>
            <a:graphic>
              <a:graphicData uri="http://schemas.openxmlformats.org/drawingml/2006/picture">
                <pic:pic>
                  <pic:nvPicPr>
                    <pic:cNvPr descr="image/img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8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  <w:r>
        <w:t xml:space="preserve"> </w:t>
      </w:r>
      <w:bookmarkStart w:id="61" w:name="fig:010"/>
      <w:r>
        <w:drawing>
          <wp:inline>
            <wp:extent cx="3733800" cy="4478764"/>
            <wp:effectExtent b="0" l="0" r="0" t="0"/>
            <wp:docPr descr="Конфигурация msk-pavlovskaya-gspolyakov-sw-1 1" title="" id="59" name="Picture"/>
            <a:graphic>
              <a:graphicData uri="http://schemas.openxmlformats.org/drawingml/2006/picture">
                <pic:pic>
                  <pic:nvPicPr>
                    <pic:cNvPr descr="image/img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8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  <w:r>
        <w:t xml:space="preserve"> </w:t>
      </w:r>
      <w:bookmarkStart w:id="65" w:name="fig:011"/>
      <w:r>
        <w:drawing>
          <wp:inline>
            <wp:extent cx="3733800" cy="1075690"/>
            <wp:effectExtent b="0" l="0" r="0" t="0"/>
            <wp:docPr descr="Конфигурация msk-pavlovskaya-gspolyakov-sw-1 2" title="" id="63" name="Picture"/>
            <a:graphic>
              <a:graphicData uri="http://schemas.openxmlformats.org/drawingml/2006/picture">
                <pic:pic>
                  <pic:nvPicPr>
                    <pic:cNvPr descr="image/img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Провел подготовительную работу по первоначальной настройке коммутаторов сети.</w:t>
      </w:r>
    </w:p>
    <w:bookmarkEnd w:id="67"/>
    <w:bookmarkStart w:id="68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Команды для просмотра конфигурации сетевого оборудования:</w:t>
      </w:r>
    </w:p>
    <w:p>
      <w:pPr>
        <w:pStyle w:val="Compact"/>
        <w:numPr>
          <w:ilvl w:val="1"/>
          <w:numId w:val="1003"/>
        </w:numPr>
      </w:pPr>
      <w:r>
        <w:t xml:space="preserve">show running-config – показывает текущую (рабочую) конфигурацию</w:t>
      </w:r>
    </w:p>
    <w:p>
      <w:pPr>
        <w:pStyle w:val="Compact"/>
        <w:numPr>
          <w:ilvl w:val="1"/>
          <w:numId w:val="1003"/>
        </w:numPr>
      </w:pPr>
      <w:r>
        <w:t xml:space="preserve">show startup-config – показывает конфигурацию, сохраненную в NVRAM</w:t>
      </w:r>
    </w:p>
    <w:p>
      <w:pPr>
        <w:pStyle w:val="Compact"/>
        <w:numPr>
          <w:ilvl w:val="1"/>
          <w:numId w:val="1003"/>
        </w:numPr>
      </w:pPr>
      <w:r>
        <w:t xml:space="preserve">show config (на некоторых устройствах)</w:t>
      </w:r>
    </w:p>
    <w:p>
      <w:pPr>
        <w:numPr>
          <w:ilvl w:val="0"/>
          <w:numId w:val="1002"/>
        </w:numPr>
      </w:pPr>
      <w:r>
        <w:t xml:space="preserve">Команды для просмотра стартового конфигурационного файла:</w:t>
      </w:r>
    </w:p>
    <w:p>
      <w:pPr>
        <w:pStyle w:val="Compact"/>
        <w:numPr>
          <w:ilvl w:val="1"/>
          <w:numId w:val="1004"/>
        </w:numPr>
      </w:pPr>
      <w:r>
        <w:t xml:space="preserve">show startup-config</w:t>
      </w:r>
    </w:p>
    <w:p>
      <w:pPr>
        <w:numPr>
          <w:ilvl w:val="0"/>
          <w:numId w:val="1002"/>
        </w:numPr>
      </w:pPr>
      <w:r>
        <w:t xml:space="preserve">Команды для экспорта конфигурационного файла:</w:t>
      </w:r>
    </w:p>
    <w:p>
      <w:pPr>
        <w:pStyle w:val="Compact"/>
        <w:numPr>
          <w:ilvl w:val="1"/>
          <w:numId w:val="1005"/>
        </w:numPr>
      </w:pPr>
      <w:r>
        <w:t xml:space="preserve">copy running-config tftp – копирование текущей конфигурации на TFTP-сервер</w:t>
      </w:r>
    </w:p>
    <w:p>
      <w:pPr>
        <w:pStyle w:val="Compact"/>
        <w:numPr>
          <w:ilvl w:val="1"/>
          <w:numId w:val="1005"/>
        </w:numPr>
      </w:pPr>
      <w:r>
        <w:t xml:space="preserve">copy startup-config tftp – копирование стартовой конфигурации на TFTP-сервер</w:t>
      </w:r>
    </w:p>
    <w:p>
      <w:pPr>
        <w:pStyle w:val="Compact"/>
        <w:numPr>
          <w:ilvl w:val="1"/>
          <w:numId w:val="1005"/>
        </w:numPr>
      </w:pPr>
      <w:r>
        <w:t xml:space="preserve">copy running-config ftp – копирование текущей конфигурации на FTP-сервер</w:t>
      </w:r>
    </w:p>
    <w:p>
      <w:pPr>
        <w:pStyle w:val="Compact"/>
        <w:numPr>
          <w:ilvl w:val="1"/>
          <w:numId w:val="1005"/>
        </w:numPr>
      </w:pPr>
      <w:r>
        <w:t xml:space="preserve">copy startup-config ftp – копирование стартовой конфигурации на FTP-сервер</w:t>
      </w:r>
    </w:p>
    <w:p>
      <w:pPr>
        <w:pStyle w:val="Compact"/>
        <w:numPr>
          <w:ilvl w:val="1"/>
          <w:numId w:val="1005"/>
        </w:numPr>
      </w:pPr>
      <w:r>
        <w:t xml:space="preserve">write memory – сохранение текущей конфигурации в startup-config</w:t>
      </w:r>
    </w:p>
    <w:p>
      <w:pPr>
        <w:numPr>
          <w:ilvl w:val="0"/>
          <w:numId w:val="1002"/>
        </w:numPr>
      </w:pPr>
      <w:r>
        <w:t xml:space="preserve">Команды для импорта конфигурационного файла:</w:t>
      </w:r>
    </w:p>
    <w:p>
      <w:pPr>
        <w:pStyle w:val="Compact"/>
        <w:numPr>
          <w:ilvl w:val="1"/>
          <w:numId w:val="1006"/>
        </w:numPr>
      </w:pPr>
      <w:r>
        <w:t xml:space="preserve">copy tftp running-config – загрузка конфигурации с TFTP в оперативную память</w:t>
      </w:r>
    </w:p>
    <w:p>
      <w:pPr>
        <w:pStyle w:val="Compact"/>
        <w:numPr>
          <w:ilvl w:val="1"/>
          <w:numId w:val="1006"/>
        </w:numPr>
      </w:pPr>
      <w:r>
        <w:t xml:space="preserve">copy tftp startup-config – загрузка конфигурации с TFTP в NVRAM</w:t>
      </w:r>
    </w:p>
    <w:p>
      <w:pPr>
        <w:pStyle w:val="Compact"/>
        <w:numPr>
          <w:ilvl w:val="1"/>
          <w:numId w:val="1006"/>
        </w:numPr>
      </w:pPr>
      <w:r>
        <w:t xml:space="preserve">copy ftp running-config – загрузка конфигурации с FTP в оперативную память</w:t>
      </w:r>
    </w:p>
    <w:p>
      <w:pPr>
        <w:pStyle w:val="Compact"/>
        <w:numPr>
          <w:ilvl w:val="1"/>
          <w:numId w:val="1006"/>
        </w:numPr>
      </w:pPr>
      <w:r>
        <w:t xml:space="preserve">copy ftp startup-config – загрузка конфигурации с FTP в NVRAM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№4.</dc:title>
  <dc:creator>Полякоа Глеб Сергеевич</dc:creator>
  <dc:language>ru-RU</dc:language>
  <cp:keywords/>
  <dcterms:created xsi:type="dcterms:W3CDTF">2025-03-03T14:30:30Z</dcterms:created>
  <dcterms:modified xsi:type="dcterms:W3CDTF">2025-03-03T14:30:30Z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Первоначальное конфигурирование сети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