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о лабораторной работе №5</w:t>
      </w:r>
    </w:p>
    <w:p>
      <w:pPr>
        <w:pStyle w:val="Subtitle"/>
      </w:pPr>
      <w:r>
        <w:t xml:space="preserve">Конфигурирование VLAN</w:t>
      </w:r>
    </w:p>
    <w:p>
      <w:pPr>
        <w:pStyle w:val="Author"/>
      </w:pPr>
      <w:r>
        <w:t xml:space="preserve">Поляков Глеб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основные навыки по настройке VLAN на коммутаторах сети.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 коммутаторах сети настроить Trunk-порты на соответствующих интерфейсах (см. табл. 3.2 из раздела 3.3), связывающих коммутаторы между собой.</w:t>
      </w:r>
    </w:p>
    <w:p>
      <w:pPr>
        <w:pStyle w:val="Compact"/>
        <w:numPr>
          <w:ilvl w:val="0"/>
          <w:numId w:val="1001"/>
        </w:numPr>
      </w:pPr>
      <w:r>
        <w:t xml:space="preserve">Коммутатор msk-donskaya-sw-1 настроить как VTP-сервер и прописать на нём номера и названия VLAN согласно табл. 3.1 из раздела 3.3.</w:t>
      </w:r>
    </w:p>
    <w:p>
      <w:pPr>
        <w:pStyle w:val="Compact"/>
        <w:numPr>
          <w:ilvl w:val="0"/>
          <w:numId w:val="1001"/>
        </w:numPr>
      </w:pPr>
      <w:r>
        <w:t xml:space="preserve">Коммутаторы msk-donskaya-sw-2 — msk-donskaya-sw-4, mskpavlovskaya-sw-1 настроить как VTP-клиенты, на интерфейсах указать принадлежность к соответствующему VLAN (см. табл. 3.3 из раздела 3.3).</w:t>
      </w:r>
    </w:p>
    <w:p>
      <w:pPr>
        <w:pStyle w:val="Compact"/>
        <w:numPr>
          <w:ilvl w:val="0"/>
          <w:numId w:val="1001"/>
        </w:numPr>
      </w:pPr>
      <w:r>
        <w:t xml:space="preserve">На серверах прописать IP-адреса, как указано в табл. 3.2 из раздела 3.3.</w:t>
      </w:r>
    </w:p>
    <w:p>
      <w:pPr>
        <w:pStyle w:val="Compact"/>
        <w:numPr>
          <w:ilvl w:val="0"/>
          <w:numId w:val="1001"/>
        </w:numPr>
      </w:pPr>
      <w:r>
        <w:t xml:space="preserve">На оконечных устройствах указать соответствующий адрес шлюза и прописать статические IP-адреса из диапазона соответствующей сети, следуя регламенту выделения ip-адресов (см. табл. 3.4 из раздела 3.3).</w:t>
      </w:r>
    </w:p>
    <w:p>
      <w:pPr>
        <w:pStyle w:val="Compact"/>
        <w:numPr>
          <w:ilvl w:val="0"/>
          <w:numId w:val="1001"/>
        </w:numPr>
      </w:pPr>
      <w:r>
        <w:t xml:space="preserve">Проверить доступность устройств, принадлежащих одному VLAN, и недоступность устройств, принадлежащих разным VLAN.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 (см. раздел 2.5).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##5.3.1. Конфигурация Trunk-порта</w:t>
      </w:r>
    </w:p>
    <w:p>
      <w:pPr>
        <w:pStyle w:val="SourceCode"/>
      </w:pPr>
      <w:r>
        <w:rPr>
          <w:rStyle w:val="VerbatimChar"/>
        </w:rPr>
        <w:t xml:space="preserve">msk−donskaya −sw−1&gt;enable</w:t>
      </w:r>
      <w:r>
        <w:br/>
      </w:r>
      <w:r>
        <w:rPr>
          <w:rStyle w:val="VerbatimChar"/>
        </w:rPr>
        <w:t xml:space="preserve">msk−donskaya −sw −1#configure terminal</w:t>
      </w:r>
      <w:r>
        <w:br/>
      </w:r>
      <w:r>
        <w:rPr>
          <w:rStyle w:val="VerbatimChar"/>
        </w:rPr>
        <w:t xml:space="preserve">msk−donskaya −sw −1(config)#interface g0/1</w:t>
      </w:r>
      <w:r>
        <w:br/>
      </w:r>
      <w:r>
        <w:rPr>
          <w:rStyle w:val="VerbatimChar"/>
        </w:rPr>
        <w:t xml:space="preserve">msk−donskaya −sw −1(config −if)#switchport mode trunk</w:t>
      </w:r>
    </w:p>
    <w:p>
      <w:pPr>
        <w:pStyle w:val="FirstParagraph"/>
      </w:pPr>
      <w:r>
        <w:t xml:space="preserve">##5.3.2. Конфигурация VTP</w:t>
      </w:r>
    </w:p>
    <w:p>
      <w:pPr>
        <w:pStyle w:val="SourceCode"/>
      </w:pPr>
      <w:r>
        <w:rPr>
          <w:rStyle w:val="VerbatimChar"/>
        </w:rPr>
        <w:t xml:space="preserve">msk−donskaya −sw−1&gt;enable</w:t>
      </w:r>
      <w:r>
        <w:br/>
      </w:r>
      <w:r>
        <w:rPr>
          <w:rStyle w:val="VerbatimChar"/>
        </w:rPr>
        <w:t xml:space="preserve">msk−donskaya −sw −1#configure terminal</w:t>
      </w:r>
      <w:r>
        <w:br/>
      </w:r>
      <w:r>
        <w:rPr>
          <w:rStyle w:val="VerbatimChar"/>
        </w:rPr>
        <w:t xml:space="preserve">msk−donskaya −sw −1(config)#vtp mode server</w:t>
      </w:r>
      <w:r>
        <w:br/>
      </w:r>
      <w:r>
        <w:rPr>
          <w:rStyle w:val="VerbatimChar"/>
        </w:rPr>
        <w:t xml:space="preserve">msk−donskaya −sw −1(config)#vtp domain donskaya</w:t>
      </w:r>
      <w:r>
        <w:br/>
      </w:r>
      <w:r>
        <w:rPr>
          <w:rStyle w:val="VerbatimChar"/>
        </w:rPr>
        <w:t xml:space="preserve">msk−donskaya −sw −1(config)#vtp password cisco</w:t>
      </w:r>
      <w:r>
        <w:br/>
      </w:r>
      <w:r>
        <w:rPr>
          <w:rStyle w:val="VerbatimChar"/>
        </w:rPr>
        <w:t xml:space="preserve">msk−donskaya −sw −1(config −vlan)#vlan 2</w:t>
      </w:r>
      <w:r>
        <w:br/>
      </w:r>
      <w:r>
        <w:rPr>
          <w:rStyle w:val="VerbatimChar"/>
        </w:rPr>
        <w:t xml:space="preserve">msk−donskaya −sw −1(config −vlan)#name management</w:t>
      </w:r>
      <w:r>
        <w:br/>
      </w:r>
      <w:r>
        <w:rPr>
          <w:rStyle w:val="VerbatimChar"/>
        </w:rPr>
        <w:t xml:space="preserve">msk−donskaya −sw −1(config −vlan)#vlan 3</w:t>
      </w:r>
      <w:r>
        <w:br/>
      </w:r>
      <w:r>
        <w:rPr>
          <w:rStyle w:val="VerbatimChar"/>
        </w:rPr>
        <w:t xml:space="preserve">msk−donskaya −sw −1(config −vlan)#name servers</w:t>
      </w:r>
      <w:r>
        <w:br/>
      </w:r>
      <w:r>
        <w:rPr>
          <w:rStyle w:val="VerbatimChar"/>
        </w:rPr>
        <w:t xml:space="preserve">msk−donskaya −sw −1(config −vlan)#vlan 101</w:t>
      </w:r>
      <w:r>
        <w:br/>
      </w:r>
      <w:r>
        <w:rPr>
          <w:rStyle w:val="VerbatimChar"/>
        </w:rPr>
        <w:t xml:space="preserve">msk−donskaya −sw −1(config −vlan)#name dk</w:t>
      </w:r>
      <w:r>
        <w:br/>
      </w:r>
      <w:r>
        <w:rPr>
          <w:rStyle w:val="VerbatimChar"/>
        </w:rPr>
        <w:t xml:space="preserve">msk−donskaya −sw −1(config −vlan)#vlan 102</w:t>
      </w:r>
      <w:r>
        <w:br/>
      </w:r>
      <w:r>
        <w:rPr>
          <w:rStyle w:val="VerbatimChar"/>
        </w:rPr>
        <w:t xml:space="preserve">msk−donskaya −sw −1(config −vlan)#name departaments</w:t>
      </w:r>
      <w:r>
        <w:br/>
      </w:r>
      <w:r>
        <w:rPr>
          <w:rStyle w:val="VerbatimChar"/>
        </w:rPr>
        <w:t xml:space="preserve">msk−donskaya −sw −1(config −vlan)#vlan 103</w:t>
      </w:r>
      <w:r>
        <w:br/>
      </w:r>
      <w:r>
        <w:rPr>
          <w:rStyle w:val="VerbatimChar"/>
        </w:rPr>
        <w:t xml:space="preserve">msk−donskaya −sw −1(config −vlan)#name adm</w:t>
      </w:r>
      <w:r>
        <w:br/>
      </w:r>
      <w:r>
        <w:rPr>
          <w:rStyle w:val="VerbatimChar"/>
        </w:rPr>
        <w:t xml:space="preserve">msk−donskaya −sw −1(config −vlan)#vlan 104</w:t>
      </w:r>
      <w:r>
        <w:br/>
      </w:r>
      <w:r>
        <w:rPr>
          <w:rStyle w:val="VerbatimChar"/>
        </w:rPr>
        <w:t xml:space="preserve">msk−donskaya −sw −1(config −vlan)#name other</w:t>
      </w:r>
    </w:p>
    <w:p>
      <w:pPr>
        <w:pStyle w:val="FirstParagraph"/>
      </w:pPr>
      <w:r>
        <w:t xml:space="preserve">##5.3.3. Конфигурация диапазона портов</w:t>
      </w:r>
    </w:p>
    <w:p>
      <w:pPr>
        <w:pStyle w:val="SourceCode"/>
      </w:pPr>
      <w:r>
        <w:rPr>
          <w:rStyle w:val="VerbatimChar"/>
        </w:rPr>
        <w:t xml:space="preserve">msk−donskaya −sw −4#conf terminal</w:t>
      </w:r>
      <w:r>
        <w:br/>
      </w:r>
      <w:r>
        <w:rPr>
          <w:rStyle w:val="VerbatimChar"/>
        </w:rPr>
        <w:t xml:space="preserve">msk−donskaya −sw −4(config)#vtp mode client</w:t>
      </w:r>
      <w:r>
        <w:br/>
      </w:r>
      <w:r>
        <w:rPr>
          <w:rStyle w:val="VerbatimChar"/>
        </w:rPr>
        <w:t xml:space="preserve">msk−donskaya −sw −4(config)#interface range f0/1 − 5</w:t>
      </w:r>
      <w:r>
        <w:br/>
      </w:r>
      <w:r>
        <w:rPr>
          <w:rStyle w:val="VerbatimChar"/>
        </w:rPr>
        <w:t xml:space="preserve">msk−donskaya −sw −4(config −if−range)#switchport mode access</w:t>
      </w:r>
      <w:r>
        <w:br/>
      </w:r>
      <w:r>
        <w:rPr>
          <w:rStyle w:val="VerbatimChar"/>
        </w:rPr>
        <w:t xml:space="preserve">msk−donskaya −sw −4(config −if−range)#switchport access vlan 101</w:t>
      </w:r>
    </w:p>
    <w:bookmarkEnd w:id="22"/>
    <w:bookmarkStart w:id="9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2"/>
        </w:numPr>
      </w:pPr>
      <w:r>
        <w:t xml:space="preserve">Используя приведённую ниже последовательность команд из примера по конфигурации Trunk-порта на интерфейсе g0/1 коммутатора mskdonskaya-sw-1, настройте Trunk-порты на соответствующих интерфейсах всех коммутаторов.</w:t>
      </w:r>
      <w:r>
        <w:t xml:space="preserve"> </w:t>
      </w:r>
      <w:bookmarkStart w:id="26" w:name="fig:001"/>
      <w:r>
        <w:drawing>
          <wp:inline>
            <wp:extent cx="3733800" cy="1359438"/>
            <wp:effectExtent b="0" l="0" r="0" t="0"/>
            <wp:docPr descr="Настройка Trunk" title="" id="24" name="Picture"/>
            <a:graphic>
              <a:graphicData uri="http://schemas.openxmlformats.org/drawingml/2006/picture">
                <pic:pic>
                  <pic:nvPicPr>
                    <pic:cNvPr descr="image/img_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9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  <w:r>
        <w:t xml:space="preserve"> </w:t>
      </w:r>
      <w:bookmarkStart w:id="30" w:name="fig:002"/>
      <w:r>
        <w:drawing>
          <wp:inline>
            <wp:extent cx="3555289" cy="370875"/>
            <wp:effectExtent b="0" l="0" r="0" t="0"/>
            <wp:docPr descr="Настройка Trunk" title="" id="28" name="Picture"/>
            <a:graphic>
              <a:graphicData uri="http://schemas.openxmlformats.org/drawingml/2006/picture">
                <pic:pic>
                  <pic:nvPicPr>
                    <pic:cNvPr descr="image/img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289" cy="37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  <w:r>
        <w:t xml:space="preserve"> </w:t>
      </w:r>
      <w:bookmarkStart w:id="34" w:name="fig:003"/>
      <w:r>
        <w:drawing>
          <wp:inline>
            <wp:extent cx="3516923" cy="1074260"/>
            <wp:effectExtent b="0" l="0" r="0" t="0"/>
            <wp:docPr descr="Настройка Trunk" title="" id="32" name="Picture"/>
            <a:graphic>
              <a:graphicData uri="http://schemas.openxmlformats.org/drawingml/2006/picture">
                <pic:pic>
                  <pic:nvPicPr>
                    <pic:cNvPr descr="image/img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923" cy="1074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  <w:r>
        <w:t xml:space="preserve"> </w:t>
      </w:r>
      <w:bookmarkStart w:id="38" w:name="fig:004"/>
      <w:r>
        <w:drawing>
          <wp:inline>
            <wp:extent cx="3478556" cy="601074"/>
            <wp:effectExtent b="0" l="0" r="0" t="0"/>
            <wp:docPr descr="Настройка Trunk" title="" id="36" name="Picture"/>
            <a:graphic>
              <a:graphicData uri="http://schemas.openxmlformats.org/drawingml/2006/picture">
                <pic:pic>
                  <pic:nvPicPr>
                    <pic:cNvPr descr="image/img_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556" cy="601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  <w:r>
        <w:t xml:space="preserve"> </w:t>
      </w:r>
      <w:bookmarkStart w:id="42" w:name="fig:005"/>
      <w:r>
        <w:drawing>
          <wp:inline>
            <wp:extent cx="3568078" cy="728962"/>
            <wp:effectExtent b="0" l="0" r="0" t="0"/>
            <wp:docPr descr="Настройка Trunk" title="" id="40" name="Picture"/>
            <a:graphic>
              <a:graphicData uri="http://schemas.openxmlformats.org/drawingml/2006/picture">
                <pic:pic>
                  <pic:nvPicPr>
                    <pic:cNvPr descr="image/img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078" cy="728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  <w:r>
        <w:t xml:space="preserve"> </w:t>
      </w:r>
      <w:bookmarkStart w:id="46" w:name="fig:006"/>
      <w:r>
        <w:drawing>
          <wp:inline>
            <wp:extent cx="3593655" cy="1023104"/>
            <wp:effectExtent b="0" l="0" r="0" t="0"/>
            <wp:docPr descr="Настройка Trunk" title="" id="44" name="Picture"/>
            <a:graphic>
              <a:graphicData uri="http://schemas.openxmlformats.org/drawingml/2006/picture">
                <pic:pic>
                  <pic:nvPicPr>
                    <pic:cNvPr descr="image/img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655" cy="1023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  <w:r>
        <w:t xml:space="preserve"> </w:t>
      </w:r>
      <w:bookmarkStart w:id="50" w:name="fig:007"/>
      <w:r>
        <w:drawing>
          <wp:inline>
            <wp:extent cx="3478556" cy="741751"/>
            <wp:effectExtent b="0" l="0" r="0" t="0"/>
            <wp:docPr descr="Настройка Trunk" title="" id="48" name="Picture"/>
            <a:graphic>
              <a:graphicData uri="http://schemas.openxmlformats.org/drawingml/2006/picture">
                <pic:pic>
                  <pic:nvPicPr>
                    <pic:cNvPr descr="image/img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556" cy="741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  <w:r>
        <w:t xml:space="preserve"> </w:t>
      </w:r>
      <w:bookmarkStart w:id="54" w:name="fig:008"/>
      <w:r>
        <w:drawing>
          <wp:inline>
            <wp:extent cx="3452979" cy="767328"/>
            <wp:effectExtent b="0" l="0" r="0" t="0"/>
            <wp:docPr descr="Настройка Trunk" title="" id="52" name="Picture"/>
            <a:graphic>
              <a:graphicData uri="http://schemas.openxmlformats.org/drawingml/2006/picture">
                <pic:pic>
                  <pic:nvPicPr>
                    <pic:cNvPr descr="image/img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979" cy="767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  <w:r>
        <w:t xml:space="preserve"> </w:t>
      </w:r>
      <w:bookmarkStart w:id="58" w:name="fig:009"/>
      <w:r>
        <w:drawing>
          <wp:inline>
            <wp:extent cx="3721544" cy="741751"/>
            <wp:effectExtent b="0" l="0" r="0" t="0"/>
            <wp:docPr descr="Настройка Trunk" title="" id="56" name="Picture"/>
            <a:graphic>
              <a:graphicData uri="http://schemas.openxmlformats.org/drawingml/2006/picture">
                <pic:pic>
                  <pic:nvPicPr>
                    <pic:cNvPr descr="image/img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544" cy="741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2"/>
        </w:numPr>
      </w:pPr>
      <w:r>
        <w:t xml:space="preserve">Используя приведённую ниже последовательность команд по конфигурации VTP, настройте коммутатор msk-donskaya-sw-1 как VTP-сервер и пропишите на нём номера и названия VLAN (см. табл. 3.1 из раздела 3.3).</w:t>
      </w:r>
      <w:r>
        <w:t xml:space="preserve"> </w:t>
      </w:r>
      <w:bookmarkStart w:id="62" w:name="fig:010"/>
      <w:r>
        <w:drawing>
          <wp:inline>
            <wp:extent cx="3733800" cy="2876492"/>
            <wp:effectExtent b="0" l="0" r="0" t="0"/>
            <wp:docPr descr="Настройка сервера VLAN" title="" id="60" name="Picture"/>
            <a:graphic>
              <a:graphicData uri="http://schemas.openxmlformats.org/drawingml/2006/picture">
                <pic:pic>
                  <pic:nvPicPr>
                    <pic:cNvPr descr="image/img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6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2"/>
        </w:numPr>
      </w:pPr>
      <w:r>
        <w:t xml:space="preserve">Используя приведённую ниже последовательность команд по конфигурации диапазонов портов, настройте коммутаторы msk-donskaya-sw-2 — mskdonskaya-sw-4, msk-pavlovskaya-sw-1 как VTP-клиенты и на интерфейсах укажите принадлежность к VLAN (см. табл. 3.3 из раздела 3.3).</w:t>
      </w:r>
      <w:r>
        <w:t xml:space="preserve"> </w:t>
      </w:r>
      <w:bookmarkStart w:id="66" w:name="fig:011"/>
      <w:r>
        <w:drawing>
          <wp:inline>
            <wp:extent cx="3733800" cy="1938246"/>
            <wp:effectExtent b="0" l="0" r="0" t="0"/>
            <wp:docPr descr="Настройка клиента VLAN" title="" id="64" name="Picture"/>
            <a:graphic>
              <a:graphicData uri="http://schemas.openxmlformats.org/drawingml/2006/picture">
                <pic:pic>
                  <pic:nvPicPr>
                    <pic:cNvPr descr="image/img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8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  <w:r>
        <w:t xml:space="preserve"> </w:t>
      </w:r>
      <w:bookmarkStart w:id="70" w:name="fig:012"/>
      <w:r>
        <w:drawing>
          <wp:inline>
            <wp:extent cx="3733800" cy="1643355"/>
            <wp:effectExtent b="0" l="0" r="0" t="0"/>
            <wp:docPr descr="Настройка клиента VLAN" title="" id="68" name="Picture"/>
            <a:graphic>
              <a:graphicData uri="http://schemas.openxmlformats.org/drawingml/2006/picture">
                <pic:pic>
                  <pic:nvPicPr>
                    <pic:cNvPr descr="image/img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3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  <w:r>
        <w:t xml:space="preserve"> </w:t>
      </w:r>
      <w:bookmarkStart w:id="74" w:name="fig:013"/>
      <w:r>
        <w:drawing>
          <wp:inline>
            <wp:extent cx="3733800" cy="2319130"/>
            <wp:effectExtent b="0" l="0" r="0" t="0"/>
            <wp:docPr descr="Настройка клиента VLAN" title="" id="72" name="Picture"/>
            <a:graphic>
              <a:graphicData uri="http://schemas.openxmlformats.org/drawingml/2006/picture">
                <pic:pic>
                  <pic:nvPicPr>
                    <pic:cNvPr descr="image/img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  <w:r>
        <w:t xml:space="preserve"> </w:t>
      </w:r>
      <w:bookmarkStart w:id="78" w:name="fig:014"/>
      <w:r>
        <w:drawing>
          <wp:inline>
            <wp:extent cx="3733800" cy="1506854"/>
            <wp:effectExtent b="0" l="0" r="0" t="0"/>
            <wp:docPr descr="Настройка клиента VLAN" title="" id="76" name="Picture"/>
            <a:graphic>
              <a:graphicData uri="http://schemas.openxmlformats.org/drawingml/2006/picture">
                <pic:pic>
                  <pic:nvPicPr>
                    <pic:cNvPr descr="image/img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6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  <w:r>
        <w:t xml:space="preserve"> </w:t>
      </w:r>
      <w:bookmarkStart w:id="82" w:name="fig:015"/>
      <w:r>
        <w:drawing>
          <wp:inline>
            <wp:extent cx="3733800" cy="1216496"/>
            <wp:effectExtent b="0" l="0" r="0" t="0"/>
            <wp:docPr descr="Настройка клиента VLAN" title="" id="80" name="Picture"/>
            <a:graphic>
              <a:graphicData uri="http://schemas.openxmlformats.org/drawingml/2006/picture">
                <pic:pic>
                  <pic:nvPicPr>
                    <pic:cNvPr descr="image/img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2"/>
        </w:numPr>
      </w:pPr>
      <w:r>
        <w:t xml:space="preserve">После указания статических IP-адресов на оконечных устройствах проверьте с помощью команды ping доступность устройств, принадлежащих одному VLAN, и недоступность устройств, принадлежащих разным VLAN.</w:t>
      </w:r>
      <w:r>
        <w:t xml:space="preserve"> </w:t>
      </w:r>
      <w:bookmarkStart w:id="86" w:name="fig:016"/>
      <w:r>
        <w:drawing>
          <wp:inline>
            <wp:extent cx="3733800" cy="2822897"/>
            <wp:effectExtent b="0" l="0" r="0" t="0"/>
            <wp:docPr descr="ping" title="" id="84" name="Picture"/>
            <a:graphic>
              <a:graphicData uri="http://schemas.openxmlformats.org/drawingml/2006/picture">
                <pic:pic>
                  <pic:nvPicPr>
                    <pic:cNvPr descr="image/img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2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  <w:r>
        <w:t xml:space="preserve"> </w:t>
      </w:r>
      <w:bookmarkStart w:id="90" w:name="fig:017"/>
      <w:r>
        <w:drawing>
          <wp:inline>
            <wp:extent cx="3733800" cy="3533937"/>
            <wp:effectExtent b="0" l="0" r="0" t="0"/>
            <wp:docPr descr="ping" title="" id="88" name="Picture"/>
            <a:graphic>
              <a:graphicData uri="http://schemas.openxmlformats.org/drawingml/2006/picture">
                <pic:pic>
                  <pic:nvPicPr>
                    <pic:cNvPr descr="image/img_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3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numPr>
          <w:ilvl w:val="0"/>
          <w:numId w:val="1002"/>
        </w:numPr>
      </w:pPr>
      <w:r>
        <w:t xml:space="preserve">Используя режим симуляции в Packet Tracer, изучите процесс передвижения пакета ICMP по сети. Изучите содержимое передаваемого пакета и заголовки задействованных протоколов.</w:t>
      </w:r>
    </w:p>
    <w:p>
      <w:pPr>
        <w:pStyle w:val="FirstParagraph"/>
      </w:pPr>
      <w:bookmarkStart w:id="94" w:name="fig:018"/>
      <w:r>
        <w:drawing>
          <wp:inline>
            <wp:extent cx="3440190" cy="7865118"/>
            <wp:effectExtent b="0" l="0" r="0" t="0"/>
            <wp:docPr descr="Пакет ICMP" title="" id="92" name="Picture"/>
            <a:graphic>
              <a:graphicData uri="http://schemas.openxmlformats.org/drawingml/2006/picture">
                <pic:pic>
                  <pic:nvPicPr>
                    <pic:cNvPr descr="image/img_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190" cy="7865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  <w:r>
        <w:t xml:space="preserve"> </w:t>
      </w:r>
      <w:bookmarkStart w:id="98" w:name="fig:019"/>
      <w:r>
        <w:drawing>
          <wp:inline>
            <wp:extent cx="3235569" cy="7391932"/>
            <wp:effectExtent b="0" l="0" r="0" t="0"/>
            <wp:docPr descr="Пакет ICMP" title="" id="96" name="Picture"/>
            <a:graphic>
              <a:graphicData uri="http://schemas.openxmlformats.org/drawingml/2006/picture">
                <pic:pic>
                  <pic:nvPicPr>
                    <pic:cNvPr descr="image/img_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569" cy="7391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bookmarkEnd w:id="99"/>
    <w:bookmarkStart w:id="10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Получил основные навыки по настройке VLAN на коммутаторах сети.</w:t>
      </w:r>
    </w:p>
    <w:bookmarkEnd w:id="100"/>
    <w:bookmarkStart w:id="101" w:name="контрольные-вопрос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Команда для просмотра списка VLAN</w:t>
      </w:r>
    </w:p>
    <w:p>
      <w:pPr>
        <w:pStyle w:val="FirstParagraph"/>
      </w:pPr>
      <w:r>
        <w:t xml:space="preserve">На сетевых устройствах Cisco для просмотра списка VLAN используется команда:</w:t>
      </w:r>
    </w:p>
    <w:p>
      <w:pPr>
        <w:pStyle w:val="SourceCode"/>
      </w:pPr>
      <w:r>
        <w:rPr>
          <w:rStyle w:val="VerbatimChar"/>
        </w:rPr>
        <w:t xml:space="preserve">show vlan brief</w:t>
      </w:r>
    </w:p>
    <w:p>
      <w:pPr>
        <w:pStyle w:val="FirstParagraph"/>
      </w:pPr>
      <w:r>
        <w:t xml:space="preserve">Эта команда отображает список VLAN, их идентификаторы (VLAN ID), имена и порты, назначенные каждой VLAN.</w:t>
      </w:r>
    </w:p>
    <w:p>
      <w:pPr>
        <w:pStyle w:val="Compact"/>
        <w:numPr>
          <w:ilvl w:val="0"/>
          <w:numId w:val="1004"/>
        </w:numPr>
      </w:pPr>
      <w:r>
        <w:t xml:space="preserve">VLAN Trunking Protocol (VTP)</w:t>
      </w:r>
    </w:p>
    <w:p>
      <w:pPr>
        <w:pStyle w:val="FirstParagraph"/>
      </w:pPr>
      <w:r>
        <w:t xml:space="preserve">VTP (VLAN Trunking Protocol) — это проприетарный протокол Cisco, предназначенный для управления VLAN в сети. Он позволяет автоматически распространять информацию о VLAN между коммутаторами, упрощая администрирование.</w:t>
      </w:r>
    </w:p>
    <w:p>
      <w:pPr>
        <w:pStyle w:val="BodyText"/>
      </w:pPr>
      <w:r>
        <w:t xml:space="preserve">Режимы работы VTP</w:t>
      </w:r>
    </w:p>
    <w:p>
      <w:pPr>
        <w:pStyle w:val="Compact"/>
        <w:numPr>
          <w:ilvl w:val="0"/>
          <w:numId w:val="1005"/>
        </w:numPr>
      </w:pPr>
      <w:r>
        <w:t xml:space="preserve">Server — позволяет добавлять, изменять и удалять VLAN, распространяя эту информацию на другие коммутаторы.</w:t>
      </w:r>
    </w:p>
    <w:p>
      <w:pPr>
        <w:pStyle w:val="Compact"/>
        <w:numPr>
          <w:ilvl w:val="0"/>
          <w:numId w:val="1005"/>
        </w:numPr>
      </w:pPr>
      <w:r>
        <w:t xml:space="preserve">Client — получает и применяет информацию о VLAN, но не может вносить изменения.</w:t>
      </w:r>
    </w:p>
    <w:p>
      <w:pPr>
        <w:pStyle w:val="Compact"/>
        <w:numPr>
          <w:ilvl w:val="0"/>
          <w:numId w:val="1005"/>
        </w:numPr>
      </w:pPr>
      <w:r>
        <w:t xml:space="preserve">Transparent — игнорирует VTP-обновления, но пропускает их дальше.</w:t>
      </w:r>
    </w:p>
    <w:p>
      <w:pPr>
        <w:pStyle w:val="FirstParagraph"/>
      </w:pPr>
      <w:r>
        <w:t xml:space="preserve">Основные команды настройки VTP</w:t>
      </w:r>
    </w:p>
    <w:p>
      <w:pPr>
        <w:pStyle w:val="BodyText"/>
      </w:pPr>
      <w:r>
        <w:t xml:space="preserve">vtp domain</w:t>
      </w:r>
      <w:r>
        <w:t xml:space="preserve"> </w:t>
      </w:r>
      <w:r>
        <w:t xml:space="preserve"> </w:t>
      </w:r>
      <w:r>
        <w:t xml:space="preserve"># Устанавливает домен VTP</w:t>
      </w:r>
      <w:r>
        <w:t xml:space="preserve"> </w:t>
      </w:r>
      <w:r>
        <w:t xml:space="preserve">vtp mode</w:t>
      </w:r>
      <w:r>
        <w:t xml:space="preserve"> </w:t>
      </w:r>
      <w:r>
        <w:t xml:space="preserve"> </w:t>
      </w:r>
      <w:r>
        <w:t xml:space="preserve"># Устанавливает режим (server, client, transparent)</w:t>
      </w:r>
      <w:r>
        <w:t xml:space="preserve"> </w:t>
      </w:r>
      <w:r>
        <w:t xml:space="preserve">vtp password</w:t>
      </w:r>
      <w:r>
        <w:t xml:space="preserve"> </w:t>
      </w:r>
      <w:r>
        <w:t xml:space="preserve"> </w:t>
      </w:r>
      <w:r>
        <w:t xml:space="preserve"># Устанавливает пароль для аутентификации VTP</w:t>
      </w:r>
      <w:r>
        <w:t xml:space="preserve"> </w:t>
      </w:r>
      <w:r>
        <w:t xml:space="preserve">show vtp status # Отображает текущий статус VTP</w:t>
      </w:r>
    </w:p>
    <w:p>
      <w:pPr>
        <w:pStyle w:val="Compact"/>
        <w:numPr>
          <w:ilvl w:val="0"/>
          <w:numId w:val="1006"/>
        </w:numPr>
      </w:pPr>
      <w:r>
        <w:t xml:space="preserve">Internet Control Message Protocol (ICMP)</w:t>
      </w:r>
    </w:p>
    <w:p>
      <w:pPr>
        <w:pStyle w:val="FirstParagraph"/>
      </w:pPr>
      <w:r>
        <w:t xml:space="preserve">ICMP (Internet Control Message Protocol) — это вспомогательный протокол IP, используемый для диагностики сети и уведомления об ошибках. Он применяется в таких утилитах, как ping и traceroute.</w:t>
      </w:r>
    </w:p>
    <w:p>
      <w:pPr>
        <w:pStyle w:val="BodyText"/>
      </w:pPr>
      <w:r>
        <w:t xml:space="preserve">Формат пакета ICMP</w:t>
      </w:r>
    </w:p>
    <w:p>
      <w:pPr>
        <w:pStyle w:val="BodyText"/>
      </w:pPr>
      <w:r>
        <w:t xml:space="preserve">Поле Размер (бит) Описание</w:t>
      </w:r>
      <w:r>
        <w:t xml:space="preserve"> </w:t>
      </w:r>
      <w:r>
        <w:t xml:space="preserve">Тип 8 Определяет тип ICMP-сообщения (например, 8 — Echo Request, 0 — Echo Reply)</w:t>
      </w:r>
      <w:r>
        <w:t xml:space="preserve"> </w:t>
      </w:r>
      <w:r>
        <w:t xml:space="preserve">Код 8 Дополнительная информация о типе ICMP-сообщения</w:t>
      </w:r>
      <w:r>
        <w:t xml:space="preserve"> </w:t>
      </w:r>
      <w:r>
        <w:t xml:space="preserve">Контрольная сумма 16 Проверка целостности пакета</w:t>
      </w:r>
      <w:r>
        <w:t xml:space="preserve"> </w:t>
      </w:r>
      <w:r>
        <w:t xml:space="preserve">Остальные данные Зависит от типа Может включать идентификатор, последовательный номер, полезную нагрузку и др.</w:t>
      </w:r>
    </w:p>
    <w:p>
      <w:pPr>
        <w:pStyle w:val="Compact"/>
        <w:numPr>
          <w:ilvl w:val="0"/>
          <w:numId w:val="1007"/>
        </w:numPr>
      </w:pPr>
      <w:r>
        <w:t xml:space="preserve">Address Resolution Protocol (ARP)</w:t>
      </w:r>
    </w:p>
    <w:p>
      <w:pPr>
        <w:pStyle w:val="FirstParagraph"/>
      </w:pPr>
      <w:r>
        <w:t xml:space="preserve">ARP (Address Resolution Protocol) — это протокол, используемый для преобразования IP-адресов в MAC-адреса в локальной сети.</w:t>
      </w:r>
    </w:p>
    <w:p>
      <w:pPr>
        <w:pStyle w:val="BodyText"/>
      </w:pPr>
      <w:r>
        <w:t xml:space="preserve">Формат пакета ARP</w:t>
      </w:r>
    </w:p>
    <w:p>
      <w:pPr>
        <w:pStyle w:val="BodyText"/>
      </w:pPr>
      <w:r>
        <w:t xml:space="preserve">Поле Размер (бит) Описание</w:t>
      </w:r>
      <w:r>
        <w:t xml:space="preserve"> </w:t>
      </w:r>
      <w:r>
        <w:t xml:space="preserve">Тип аппаратного адреса 16 Определяет тип MAC-адреса (Ethernet — 1)</w:t>
      </w:r>
      <w:r>
        <w:t xml:space="preserve"> </w:t>
      </w:r>
      <w:r>
        <w:t xml:space="preserve">Тип протокола 16 Определяет используемый протокол (IPv4 — 0x0800)</w:t>
      </w:r>
      <w:r>
        <w:t xml:space="preserve"> </w:t>
      </w:r>
      <w:r>
        <w:t xml:space="preserve">Длина MAC-адреса 8 Длина аппаратного адреса (обычно 6 байт)</w:t>
      </w:r>
      <w:r>
        <w:t xml:space="preserve"> </w:t>
      </w:r>
      <w:r>
        <w:t xml:space="preserve">Длина IP-адреса 8 Длина протокольного адреса (обычно 4 байта)</w:t>
      </w:r>
      <w:r>
        <w:t xml:space="preserve"> </w:t>
      </w:r>
      <w:r>
        <w:t xml:space="preserve">Код операции 16 1 — запрос ARP, 2 — ответ ARP</w:t>
      </w:r>
      <w:r>
        <w:t xml:space="preserve"> </w:t>
      </w:r>
      <w:r>
        <w:t xml:space="preserve">MAC-адрес отправителя 48 MAC-адрес устройства, отправившего запрос</w:t>
      </w:r>
      <w:r>
        <w:t xml:space="preserve"> </w:t>
      </w:r>
      <w:r>
        <w:t xml:space="preserve">IP-адрес отправителя 32 IP-адрес устройства, отправившего запрос</w:t>
      </w:r>
      <w:r>
        <w:t xml:space="preserve"> </w:t>
      </w:r>
      <w:r>
        <w:t xml:space="preserve">MAC-адрес получателя 48 MAC-адрес целевого устройства (нулевой в запросе)</w:t>
      </w:r>
      <w:r>
        <w:t xml:space="preserve"> </w:t>
      </w:r>
      <w:r>
        <w:t xml:space="preserve">IP-адрес получателя 32 IP-адрес целевого устройства</w:t>
      </w:r>
    </w:p>
    <w:p>
      <w:pPr>
        <w:pStyle w:val="Compact"/>
        <w:numPr>
          <w:ilvl w:val="0"/>
          <w:numId w:val="1008"/>
        </w:numPr>
      </w:pPr>
      <w:r>
        <w:t xml:space="preserve">MAC-адрес и его структура</w:t>
      </w:r>
    </w:p>
    <w:p>
      <w:pPr>
        <w:pStyle w:val="FirstParagraph"/>
      </w:pPr>
      <w:r>
        <w:t xml:space="preserve">MAC-адрес (Media Access Control Address) — это уникальный аппаратный адрес сетевого интерфейса, используемый для идентификации устройств в локальной сети.</w:t>
      </w:r>
    </w:p>
    <w:p>
      <w:pPr>
        <w:pStyle w:val="BodyText"/>
      </w:pPr>
      <w:r>
        <w:t xml:space="preserve">Структура MAC-адреса</w:t>
      </w:r>
    </w:p>
    <w:p>
      <w:pPr>
        <w:pStyle w:val="BodyText"/>
      </w:pPr>
      <w:r>
        <w:t xml:space="preserve">MAC-адрес состоит из 48 бит (6 байт) и записывается в шестнадцатеричном формате, например:</w:t>
      </w:r>
    </w:p>
    <w:p>
      <w:pPr>
        <w:pStyle w:val="BodyText"/>
      </w:pPr>
      <w:r>
        <w:t xml:space="preserve">00:1A:2B:3C:4D:5E</w:t>
      </w:r>
    </w:p>
    <w:p>
      <w:pPr>
        <w:pStyle w:val="BodyText"/>
      </w:pPr>
      <w:r>
        <w:t xml:space="preserve">Он делится на две части:</w:t>
      </w:r>
    </w:p>
    <w:p>
      <w:pPr>
        <w:pStyle w:val="Compact"/>
        <w:numPr>
          <w:ilvl w:val="0"/>
          <w:numId w:val="1009"/>
        </w:numPr>
      </w:pPr>
      <w:r>
        <w:t xml:space="preserve">Первые 24 бита (OUI — Organizationally Unique Identifier) — определяют производителя устройства.</w:t>
      </w:r>
    </w:p>
    <w:p>
      <w:pPr>
        <w:pStyle w:val="Compact"/>
        <w:numPr>
          <w:ilvl w:val="0"/>
          <w:numId w:val="1009"/>
        </w:numPr>
      </w:pPr>
      <w:r>
        <w:t xml:space="preserve">Последние 24 бита (NIC — Network Interface Controller Identifier) — уникальный идентификатор устройства у данного производителя.</w:t>
      </w:r>
    </w:p>
    <w:bookmarkEnd w:id="101"/>
    <w:bookmarkStart w:id="103" w:name="список-литературы"/>
    <w:p>
      <w:pPr>
        <w:pStyle w:val="Heading1"/>
      </w:pPr>
      <w:r>
        <w:t xml:space="preserve">Список литературы</w:t>
      </w:r>
    </w:p>
    <w:bookmarkStart w:id="102" w:name="refs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 №5</dc:title>
  <dc:creator>Поляков Глеб Сергеевич</dc:creator>
  <dc:language>ru-RU</dc:language>
  <cp:keywords/>
  <dcterms:created xsi:type="dcterms:W3CDTF">2025-03-10T14:45:09Z</dcterms:created>
  <dcterms:modified xsi:type="dcterms:W3CDTF">2025-03-10T14:45:09Z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Конфигурирование VLAN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