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A4" w:rsidRDefault="0052210B">
      <w:r>
        <w:t xml:space="preserve">Computational economics is rapidly changing the types of problems economists can feasibly solve. In particular, advances in non-linear solving </w:t>
      </w:r>
      <w:r w:rsidR="007834A4">
        <w:t>algorithms have</w:t>
      </w:r>
      <w:r>
        <w:t xml:space="preserve"> allowed macroeconomists to create dynamic, multi-objective optimization (MOO) models that can be applied to </w:t>
      </w:r>
      <w:r w:rsidR="007834A4">
        <w:t xml:space="preserve">growth theory. The research presented will show how Microsoft Excel's built-in Solver function can be utilized to create and test a growth model. </w:t>
      </w:r>
    </w:p>
    <w:p w:rsidR="00E25158" w:rsidRPr="00E25158" w:rsidRDefault="00E25158">
      <w:pPr>
        <w:rPr>
          <w:u w:val="single"/>
        </w:rPr>
      </w:pPr>
      <w:r w:rsidRPr="00E25158">
        <w:rPr>
          <w:u w:val="single"/>
        </w:rPr>
        <w:t>Base Model and Motivation</w:t>
      </w:r>
    </w:p>
    <w:p w:rsidR="007834A4" w:rsidRDefault="007834A4">
      <w:r>
        <w:t xml:space="preserve">The work of Messrs. Kendrick and </w:t>
      </w:r>
      <w:proofErr w:type="spellStart"/>
      <w:r>
        <w:t>Mercardo</w:t>
      </w:r>
      <w:proofErr w:type="spellEnd"/>
      <w:r>
        <w:t xml:space="preserve"> (3/30/2004) creates the base of the growth model used. Over nine periods, optimal consumption levels are chosen such that the combined </w:t>
      </w:r>
      <w:r w:rsidR="00787022">
        <w:t>utility</w:t>
      </w:r>
      <w:r>
        <w:t xml:space="preserve"> is maximized, while simultaneously reaching a final tar</w:t>
      </w:r>
      <w:r w:rsidR="00787022">
        <w:t>get capital level:</w:t>
      </w:r>
    </w:p>
    <w:p w:rsidR="0067592D" w:rsidRPr="0067592D" w:rsidRDefault="0067592D" w:rsidP="0067592D">
      <w:pPr>
        <w:tabs>
          <w:tab w:val="left" w:pos="72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n</m:t>
              </m:r>
            </m:sub>
            <m:sup>
              <m:r>
                <w:rPr>
                  <w:rFonts w:ascii="Cambria Math" w:eastAsiaTheme="minorEastAsia" w:hAnsi="Cambria Math"/>
                </w:rPr>
                <m:t>α</m:t>
              </m:r>
            </m:sup>
          </m:sSubSup>
        </m:oMath>
      </m:oMathPara>
    </w:p>
    <w:p w:rsidR="007834A4" w:rsidRPr="00787022" w:rsidRDefault="007834A4" w:rsidP="00787022">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U</m:t>
                  </m:r>
                </m:lim>
              </m:limLow>
            </m:fNa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e>
              </m:nary>
            </m:e>
          </m:func>
          <m:r>
            <w:rPr>
              <w:rFonts w:ascii="Cambria Math" w:hAnsi="Cambria Math"/>
            </w:rPr>
            <m:t xml:space="preserve"> </m:t>
          </m:r>
        </m:oMath>
      </m:oMathPara>
    </w:p>
    <w:p w:rsidR="00787022" w:rsidRPr="00787022" w:rsidRDefault="00787022" w:rsidP="007870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9</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target</m:t>
              </m:r>
            </m:sub>
          </m:sSub>
        </m:oMath>
      </m:oMathPara>
    </w:p>
    <w:p w:rsidR="00787022" w:rsidRDefault="00787022" w:rsidP="00787022">
      <w:pPr>
        <w:rPr>
          <w:rFonts w:eastAsiaTheme="minorEastAsia"/>
        </w:rPr>
      </w:pPr>
      <w:r>
        <w:rPr>
          <w:rFonts w:eastAsiaTheme="minorEastAsia"/>
        </w:rPr>
        <w:t>The model is constrained by limits on consumption set by the level of production; consumption must be greater than zero; and the interrelationship between capital, production, and consumption:</w:t>
      </w:r>
    </w:p>
    <w:p w:rsidR="00787022" w:rsidRPr="00787022" w:rsidRDefault="00787022" w:rsidP="007870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m:oMathPara>
    </w:p>
    <w:p w:rsidR="00787022" w:rsidRPr="00787022" w:rsidRDefault="00787022" w:rsidP="007870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≥0</m:t>
          </m:r>
        </m:oMath>
      </m:oMathPara>
    </w:p>
    <w:p w:rsidR="00787022" w:rsidRPr="00787022" w:rsidRDefault="00787022" w:rsidP="007870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 xml:space="preserve">n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oMath>
      </m:oMathPara>
    </w:p>
    <w:p w:rsidR="00787022" w:rsidRDefault="00787022" w:rsidP="00E25158">
      <w:pPr>
        <w:tabs>
          <w:tab w:val="left" w:pos="720"/>
        </w:tabs>
        <w:rPr>
          <w:rFonts w:eastAsiaTheme="minorEastAsia"/>
        </w:rPr>
      </w:pPr>
      <w:r>
        <w:rPr>
          <w:rFonts w:eastAsiaTheme="minorEastAsia"/>
        </w:rPr>
        <w:t>Excel is subsequently charged with altering consumption levels at each period such that the maximum total ut</w:t>
      </w:r>
      <w:r w:rsidR="00E25158">
        <w:rPr>
          <w:rFonts w:eastAsiaTheme="minorEastAsia"/>
        </w:rPr>
        <w:t xml:space="preserve">ility is reached. The model is also given static variables that represent the depreciation </w:t>
      </w:r>
      <w:proofErr w:type="gramStart"/>
      <w:r w:rsidR="00E25158">
        <w:rPr>
          <w:rFonts w:eastAsiaTheme="minorEastAsia"/>
        </w:rPr>
        <w:t xml:space="preserve">rate </w:t>
      </w:r>
      <w:proofErr w:type="gramEnd"/>
      <m:oMath>
        <m:r>
          <w:rPr>
            <w:rFonts w:ascii="Cambria Math" w:eastAsiaTheme="minorEastAsia" w:hAnsi="Cambria Math"/>
          </w:rPr>
          <m:t>(θ)</m:t>
        </m:r>
      </m:oMath>
      <w:r w:rsidR="00E25158">
        <w:rPr>
          <w:rFonts w:eastAsiaTheme="minorEastAsia"/>
        </w:rPr>
        <w:t xml:space="preserve">, the discount factor </w:t>
      </w:r>
      <m:oMath>
        <m:r>
          <w:rPr>
            <w:rFonts w:ascii="Cambria Math" w:eastAsiaTheme="minorEastAsia" w:hAnsi="Cambria Math"/>
          </w:rPr>
          <m:t>(β)</m:t>
        </m:r>
      </m:oMath>
      <w:r w:rsidR="00E25158">
        <w:rPr>
          <w:rFonts w:eastAsiaTheme="minorEastAsia"/>
        </w:rPr>
        <w:t xml:space="preserve">, the sensitivity of production to capital </w:t>
      </w:r>
      <m:oMath>
        <m:r>
          <w:rPr>
            <w:rFonts w:ascii="Cambria Math" w:eastAsiaTheme="minorEastAsia" w:hAnsi="Cambria Math"/>
          </w:rPr>
          <m:t>(α)</m:t>
        </m:r>
      </m:oMath>
      <w:r w:rsidR="00E25158">
        <w:rPr>
          <w:rFonts w:eastAsiaTheme="minorEastAsia"/>
        </w:rPr>
        <w:t xml:space="preserve">, and a variable used in correlating the consumption and utility </w:t>
      </w:r>
      <m:oMath>
        <m:r>
          <w:rPr>
            <w:rFonts w:ascii="Cambria Math" w:eastAsiaTheme="minorEastAsia" w:hAnsi="Cambria Math"/>
          </w:rPr>
          <m:t>(τ)</m:t>
        </m:r>
      </m:oMath>
      <w:r w:rsidR="00E25158">
        <w:rPr>
          <w:rFonts w:eastAsiaTheme="minorEastAsia"/>
        </w:rPr>
        <w:t xml:space="preserve">. These variables can be altered to run parametric studies on how perturbations will affect consumption patterns in each period. A sample study on how increases in the discount factor—effectively a measure of how patient actors are—will shift consumption further into the future can be seen in </w:t>
      </w:r>
      <w:r w:rsidR="00E25158" w:rsidRPr="00E25158">
        <w:rPr>
          <w:rFonts w:eastAsiaTheme="minorEastAsia"/>
          <w:b/>
        </w:rPr>
        <w:t>Figure 1</w:t>
      </w:r>
      <w:r w:rsidR="00E25158">
        <w:rPr>
          <w:rFonts w:eastAsiaTheme="minorEastAsia"/>
        </w:rPr>
        <w:t xml:space="preserve">. </w:t>
      </w:r>
      <w:r w:rsidR="00D750EB">
        <w:rPr>
          <w:rFonts w:eastAsiaTheme="minorEastAsia"/>
        </w:rPr>
        <w:t>The model matches well with expected results: consumption is smoother (has a flatter slope) when the discount rate is close to unity. This implies that agents are willing to sacrifice present consumption so that future production—a function of current capital—will be higher in future periods, and therefor overall utility will be as well. This fits established analytic models of future value which obey the relationship:</w:t>
      </w:r>
    </w:p>
    <w:p w:rsidR="00D750EB" w:rsidRPr="001060EF" w:rsidRDefault="00D750EB" w:rsidP="00E25158">
      <w:pPr>
        <w:tabs>
          <w:tab w:val="left" w:pos="720"/>
        </w:tabs>
        <w:rPr>
          <w:rFonts w:eastAsiaTheme="minorEastAsia"/>
          <w:b/>
        </w:rPr>
      </w:pPr>
      <m:oMathPara>
        <m:oMath>
          <m:r>
            <w:rPr>
              <w:rFonts w:ascii="Cambria Math" w:eastAsiaTheme="minorEastAsia" w:hAnsi="Cambria Math"/>
            </w:rPr>
            <m:t xml:space="preserve">FV=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n</m:t>
              </m:r>
            </m:sup>
          </m:sSup>
        </m:oMath>
      </m:oMathPara>
    </w:p>
    <w:p w:rsidR="001060EF" w:rsidRPr="001060EF" w:rsidRDefault="001060EF" w:rsidP="00E25158">
      <w:pPr>
        <w:tabs>
          <w:tab w:val="left" w:pos="720"/>
        </w:tabs>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r</m:t>
        </m:r>
      </m:oMath>
      <w:r>
        <w:rPr>
          <w:rFonts w:eastAsiaTheme="minorEastAsia"/>
        </w:rPr>
        <w:t xml:space="preserve"> is the real interest rate:</w:t>
      </w:r>
    </w:p>
    <w:p w:rsidR="00D750EB" w:rsidRDefault="00D750EB" w:rsidP="00E25158">
      <w:pPr>
        <w:tabs>
          <w:tab w:val="left" w:pos="720"/>
        </w:tabs>
        <w:rPr>
          <w:rFonts w:eastAsiaTheme="minorEastAsia"/>
        </w:rPr>
      </w:pPr>
      <m:oMathPara>
        <m:oMath>
          <m:r>
            <w:rPr>
              <w:rFonts w:ascii="Cambria Math" w:eastAsiaTheme="minorEastAsia" w:hAnsi="Cambria Math"/>
            </w:rPr>
            <m:t xml:space="preserve">β=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den>
          </m:f>
        </m:oMath>
      </m:oMathPara>
    </w:p>
    <w:p w:rsidR="001060EF" w:rsidRDefault="001060EF" w:rsidP="00E25158">
      <w:pPr>
        <w:tabs>
          <w:tab w:val="left" w:pos="720"/>
        </w:tabs>
        <w:rPr>
          <w:rFonts w:eastAsiaTheme="minorEastAsia"/>
        </w:rPr>
      </w:pPr>
    </w:p>
    <w:p w:rsidR="00E25158" w:rsidRDefault="00E25158" w:rsidP="00E25158">
      <w:pPr>
        <w:tabs>
          <w:tab w:val="left" w:pos="720"/>
        </w:tabs>
        <w:rPr>
          <w:rFonts w:eastAsiaTheme="minorEastAsia"/>
          <w:u w:val="single"/>
        </w:rPr>
      </w:pPr>
      <w:r w:rsidRPr="00E25158">
        <w:rPr>
          <w:rFonts w:eastAsiaTheme="minorEastAsia"/>
          <w:u w:val="single"/>
        </w:rPr>
        <w:t>Improving the Model</w:t>
      </w:r>
    </w:p>
    <w:p w:rsidR="001060EF" w:rsidRDefault="001060EF" w:rsidP="00E25158">
      <w:pPr>
        <w:tabs>
          <w:tab w:val="left" w:pos="720"/>
        </w:tabs>
        <w:rPr>
          <w:rFonts w:eastAsiaTheme="minorEastAsia"/>
        </w:rPr>
      </w:pPr>
      <w:r>
        <w:rPr>
          <w:rFonts w:eastAsiaTheme="minorEastAsia"/>
        </w:rPr>
        <w:t xml:space="preserve">While the proposed model owes a great deal to the foundation laid by Kendrick and </w:t>
      </w:r>
      <w:proofErr w:type="spellStart"/>
      <w:r>
        <w:rPr>
          <w:rFonts w:eastAsiaTheme="minorEastAsia"/>
        </w:rPr>
        <w:t>Mercardo</w:t>
      </w:r>
      <w:proofErr w:type="spellEnd"/>
      <w:r>
        <w:rPr>
          <w:rFonts w:eastAsiaTheme="minorEastAsia"/>
        </w:rPr>
        <w:t xml:space="preserve">, some improvements have been made to align it both with known economic and sociological models as well as patterns observed in the real world. Mainly, the production function used by Kendrick and </w:t>
      </w:r>
      <w:proofErr w:type="spellStart"/>
      <w:r>
        <w:rPr>
          <w:rFonts w:eastAsiaTheme="minorEastAsia"/>
        </w:rPr>
        <w:t>Mercardo</w:t>
      </w:r>
      <w:proofErr w:type="spellEnd"/>
      <w:r>
        <w:rPr>
          <w:rFonts w:eastAsiaTheme="minorEastAsia"/>
        </w:rPr>
        <w:t xml:space="preserve"> is </w:t>
      </w:r>
      <w:r>
        <w:rPr>
          <w:rFonts w:eastAsiaTheme="minorEastAsia"/>
        </w:rPr>
        <w:t>the Neocla</w:t>
      </w:r>
      <w:r>
        <w:rPr>
          <w:rFonts w:eastAsiaTheme="minorEastAsia"/>
        </w:rPr>
        <w:t xml:space="preserve">ssical Growth Model as proposed by </w:t>
      </w:r>
      <w:proofErr w:type="spellStart"/>
      <w:r>
        <w:rPr>
          <w:rFonts w:eastAsiaTheme="minorEastAsia"/>
        </w:rPr>
        <w:t>Harrod</w:t>
      </w:r>
      <w:proofErr w:type="spellEnd"/>
      <w:r>
        <w:rPr>
          <w:rFonts w:eastAsiaTheme="minorEastAsia"/>
        </w:rPr>
        <w:t xml:space="preserve"> and </w:t>
      </w:r>
      <w:proofErr w:type="spellStart"/>
      <w:r w:rsidRPr="001060EF">
        <w:rPr>
          <w:rFonts w:eastAsiaTheme="minorEastAsia"/>
        </w:rPr>
        <w:t>Doma</w:t>
      </w:r>
      <w:r>
        <w:rPr>
          <w:rFonts w:eastAsiaTheme="minorEastAsia"/>
        </w:rPr>
        <w:t>r</w:t>
      </w:r>
      <w:proofErr w:type="spellEnd"/>
      <w:r>
        <w:rPr>
          <w:rFonts w:eastAsiaTheme="minorEastAsia"/>
        </w:rPr>
        <w:t xml:space="preserve"> (1946), not the expanded model of Robert Solow (1956) in which labor facto</w:t>
      </w:r>
      <w:r w:rsidR="0067592D">
        <w:rPr>
          <w:rFonts w:eastAsiaTheme="minorEastAsia"/>
        </w:rPr>
        <w:t>rs</w:t>
      </w:r>
      <w:r>
        <w:rPr>
          <w:rFonts w:eastAsiaTheme="minorEastAsia"/>
        </w:rPr>
        <w:t xml:space="preserve"> into growth. The original, continuous formula described by Solow has been modified to a finite, period based one.</w:t>
      </w:r>
    </w:p>
    <w:p w:rsidR="001060EF" w:rsidRPr="0067592D" w:rsidRDefault="001060EF" w:rsidP="00E25158">
      <w:pPr>
        <w:tabs>
          <w:tab w:val="left" w:pos="72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n</m:t>
              </m:r>
            </m:sub>
            <m:sup>
              <m:r>
                <w:rPr>
                  <w:rFonts w:ascii="Cambria Math" w:eastAsiaTheme="minorEastAsia" w:hAnsi="Cambria Math"/>
                </w:rPr>
                <m:t>α</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n</m:t>
              </m:r>
            </m:sub>
            <m:sup>
              <m:r>
                <w:rPr>
                  <w:rFonts w:ascii="Cambria Math" w:eastAsiaTheme="minorEastAsia" w:hAnsi="Cambria Math"/>
                </w:rPr>
                <m:t>1-α</m:t>
              </m:r>
            </m:sup>
          </m:sSubSup>
        </m:oMath>
      </m:oMathPara>
    </w:p>
    <w:p w:rsidR="0067592D" w:rsidRDefault="0067592D" w:rsidP="00E25158">
      <w:pPr>
        <w:tabs>
          <w:tab w:val="left" w:pos="720"/>
        </w:tabs>
        <w:rPr>
          <w:rFonts w:eastAsiaTheme="minorEastAsia"/>
        </w:rPr>
      </w:pPr>
      <w:r>
        <w:rPr>
          <w:rFonts w:eastAsiaTheme="minorEastAsia"/>
        </w:rPr>
        <w:t xml:space="preserve">The proposed model incorporates a population that grows each period in accordance to the model proposed by John </w:t>
      </w:r>
      <w:proofErr w:type="spellStart"/>
      <w:r>
        <w:rPr>
          <w:rFonts w:eastAsiaTheme="minorEastAsia"/>
        </w:rPr>
        <w:t>Vandameer</w:t>
      </w:r>
      <w:proofErr w:type="spellEnd"/>
      <w:r>
        <w:rPr>
          <w:rFonts w:eastAsiaTheme="minorEastAsia"/>
        </w:rPr>
        <w:t xml:space="preserve"> (2010). </w:t>
      </w:r>
      <w:proofErr w:type="spellStart"/>
      <w:r>
        <w:rPr>
          <w:rFonts w:eastAsiaTheme="minorEastAsia"/>
        </w:rPr>
        <w:t>Vandameer's</w:t>
      </w:r>
      <w:proofErr w:type="spellEnd"/>
      <w:r>
        <w:rPr>
          <w:rFonts w:eastAsiaTheme="minorEastAsia"/>
        </w:rPr>
        <w:t xml:space="preserve"> model posits that populations grow in a bounded exponential fashion, where the current population density serves as a negative feedback </w:t>
      </w:r>
      <w:r w:rsidR="007A4F31">
        <w:rPr>
          <w:rFonts w:eastAsiaTheme="minorEastAsia"/>
        </w:rPr>
        <w:t>mechanism</w:t>
      </w:r>
      <w:r>
        <w:rPr>
          <w:rFonts w:eastAsiaTheme="minorEastAsia"/>
        </w:rPr>
        <w:t xml:space="preserve">. This model suggests that populations will grow at an exponential rate until the population density approaches some maximum level, after which population growth will plateau. </w:t>
      </w:r>
      <w:r w:rsidR="007A4F31">
        <w:rPr>
          <w:rFonts w:eastAsiaTheme="minorEastAsia"/>
        </w:rPr>
        <w:t xml:space="preserve">In the proposed model, population density has been replaced with a predefined population </w:t>
      </w:r>
      <w:proofErr w:type="gramStart"/>
      <w:r w:rsidR="007A4F31">
        <w:rPr>
          <w:rFonts w:eastAsiaTheme="minorEastAsia"/>
        </w:rPr>
        <w:t xml:space="preserve">cap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r>
          <w:rPr>
            <w:rFonts w:ascii="Cambria Math" w:eastAsiaTheme="minorEastAsia" w:hAnsi="Cambria Math"/>
          </w:rPr>
          <m:t>)</m:t>
        </m:r>
      </m:oMath>
      <w:r w:rsidR="007A4F31">
        <w:rPr>
          <w:rFonts w:eastAsiaTheme="minorEastAsia"/>
        </w:rPr>
        <w:t xml:space="preserve">. This population growth function has the properties of an increasing population and, after a number of periods, a negative second derivative, implying a slowing growth rate as seen in </w:t>
      </w:r>
      <w:r w:rsidR="007A4F31" w:rsidRPr="007A4F31">
        <w:rPr>
          <w:rFonts w:eastAsiaTheme="minorEastAsia"/>
          <w:b/>
        </w:rPr>
        <w:t>Figure 2</w:t>
      </w:r>
      <w:r w:rsidR="007A4F31">
        <w:rPr>
          <w:rFonts w:eastAsiaTheme="minorEastAsia"/>
        </w:rPr>
        <w:t>.</w:t>
      </w:r>
    </w:p>
    <w:bookmarkStart w:id="0" w:name="_GoBack"/>
    <w:bookmarkEnd w:id="0"/>
    <w:p w:rsidR="009D11F1" w:rsidRDefault="007A4F31" w:rsidP="00E25158">
      <w:pPr>
        <w:tabs>
          <w:tab w:val="left" w:pos="72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 xml:space="preserve">*exp⁡( </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 xml:space="preserve">0 </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den>
          </m:f>
          <m:r>
            <w:rPr>
              <w:rFonts w:ascii="Cambria Math" w:eastAsiaTheme="minorEastAsia" w:hAnsi="Cambria Math"/>
            </w:rPr>
            <m:t>)</m:t>
          </m:r>
        </m:oMath>
      </m:oMathPara>
    </w:p>
    <w:p w:rsidR="0067592D" w:rsidRDefault="0067592D" w:rsidP="00E25158">
      <w:pPr>
        <w:tabs>
          <w:tab w:val="left" w:pos="720"/>
        </w:tabs>
        <w:rPr>
          <w:rFonts w:eastAsiaTheme="minorEastAsia"/>
        </w:rPr>
      </w:pPr>
      <w:r>
        <w:rPr>
          <w:rFonts w:eastAsiaTheme="minorEastAsia"/>
        </w:rPr>
        <w:t xml:space="preserve">In addition to omitting the labor force, the base model assumes that </w:t>
      </w:r>
      <w:proofErr w:type="gramStart"/>
      <w:r>
        <w:rPr>
          <w:rFonts w:eastAsiaTheme="minorEastAsia"/>
        </w:rPr>
        <w:t xml:space="preserve">technology </w:t>
      </w:r>
      <w:proofErr w:type="gramEnd"/>
      <m:oMath>
        <m:r>
          <w:rPr>
            <w:rFonts w:ascii="Cambria Math" w:eastAsiaTheme="minorEastAsia" w:hAnsi="Cambria Math"/>
          </w:rPr>
          <m:t>(A)</m:t>
        </m:r>
      </m:oMath>
      <w:r>
        <w:rPr>
          <w:rFonts w:eastAsiaTheme="minorEastAsia"/>
        </w:rPr>
        <w:t>, is a constant throughout all periods. The proposed model instead incor</w:t>
      </w:r>
      <w:r w:rsidR="00DC170E">
        <w:rPr>
          <w:rFonts w:eastAsiaTheme="minorEastAsia"/>
        </w:rPr>
        <w:t>porates an exponential growth in technology, as described by:</w:t>
      </w:r>
    </w:p>
    <w:p w:rsidR="00DC170E" w:rsidRPr="0067592D" w:rsidRDefault="00DC170E" w:rsidP="00E25158">
      <w:pPr>
        <w:tabs>
          <w:tab w:val="left" w:pos="72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oMath>
      </m:oMathPara>
    </w:p>
    <w:p w:rsidR="00DC170E" w:rsidRDefault="00DC170E" w:rsidP="00DC170E">
      <w:pPr>
        <w:tabs>
          <w:tab w:val="left" w:pos="720"/>
        </w:tabs>
        <w:rPr>
          <w:rFonts w:eastAsiaTheme="minorEastAsia"/>
        </w:rPr>
      </w:pPr>
    </w:p>
    <w:p w:rsidR="00E25158" w:rsidRDefault="00E25158">
      <w:pPr>
        <w:rPr>
          <w:rFonts w:eastAsiaTheme="minorEastAsia"/>
        </w:rPr>
      </w:pPr>
      <w:r>
        <w:rPr>
          <w:rFonts w:eastAsiaTheme="minorEastAsia"/>
        </w:rPr>
        <w:br w:type="page"/>
      </w:r>
    </w:p>
    <w:p w:rsidR="00E25158" w:rsidRDefault="00D750EB" w:rsidP="00D750EB">
      <w:pPr>
        <w:tabs>
          <w:tab w:val="left" w:pos="720"/>
        </w:tabs>
        <w:jc w:val="center"/>
        <w:rPr>
          <w:rFonts w:eastAsiaTheme="minorEastAsia"/>
        </w:rPr>
      </w:pPr>
      <w:r>
        <w:rPr>
          <w:noProof/>
        </w:rPr>
        <w:lastRenderedPageBreak/>
        <w:drawing>
          <wp:inline distT="0" distB="0" distL="0" distR="0" wp14:anchorId="33B9A049" wp14:editId="7FDC3CA5">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50EB" w:rsidRPr="00D750EB" w:rsidRDefault="00D750EB" w:rsidP="00D750EB">
      <w:pPr>
        <w:tabs>
          <w:tab w:val="left" w:pos="720"/>
        </w:tabs>
        <w:jc w:val="center"/>
        <w:rPr>
          <w:rFonts w:eastAsiaTheme="minorEastAsia"/>
          <w:b/>
        </w:rPr>
      </w:pPr>
      <w:r w:rsidRPr="00D750EB">
        <w:rPr>
          <w:rFonts w:eastAsiaTheme="minorEastAsia"/>
          <w:b/>
        </w:rPr>
        <w:t>Figure 1: Consumption v. Time as a Function of Discount Factor</w:t>
      </w:r>
    </w:p>
    <w:p w:rsidR="00E25158" w:rsidRDefault="00E25158">
      <w:pPr>
        <w:rPr>
          <w:rFonts w:eastAsiaTheme="minorEastAsia"/>
        </w:rPr>
      </w:pPr>
      <w:r>
        <w:rPr>
          <w:rFonts w:eastAsiaTheme="minorEastAsia"/>
        </w:rPr>
        <w:br w:type="page"/>
      </w:r>
    </w:p>
    <w:p w:rsidR="00E25158" w:rsidRPr="00787022" w:rsidRDefault="00E25158" w:rsidP="00E25158">
      <w:pPr>
        <w:tabs>
          <w:tab w:val="left" w:pos="720"/>
        </w:tabs>
        <w:rPr>
          <w:rFonts w:eastAsiaTheme="minorEastAsia"/>
        </w:rPr>
      </w:pPr>
    </w:p>
    <w:p w:rsidR="00787022" w:rsidRDefault="00787022"/>
    <w:p w:rsidR="00787022" w:rsidRDefault="00787022"/>
    <w:sectPr w:rsidR="0078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0B"/>
    <w:rsid w:val="001060EF"/>
    <w:rsid w:val="002F3AB2"/>
    <w:rsid w:val="004F4207"/>
    <w:rsid w:val="0052210B"/>
    <w:rsid w:val="0067592D"/>
    <w:rsid w:val="007834A4"/>
    <w:rsid w:val="00787022"/>
    <w:rsid w:val="007A4F31"/>
    <w:rsid w:val="008C140F"/>
    <w:rsid w:val="009D11F1"/>
    <w:rsid w:val="00BA1E87"/>
    <w:rsid w:val="00D750EB"/>
    <w:rsid w:val="00DB2188"/>
    <w:rsid w:val="00DC170E"/>
    <w:rsid w:val="00E2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4A4"/>
    <w:rPr>
      <w:color w:val="808080"/>
    </w:rPr>
  </w:style>
  <w:style w:type="paragraph" w:styleId="BalloonText">
    <w:name w:val="Balloon Text"/>
    <w:basedOn w:val="Normal"/>
    <w:link w:val="BalloonTextChar"/>
    <w:uiPriority w:val="99"/>
    <w:semiHidden/>
    <w:unhideWhenUsed/>
    <w:rsid w:val="0078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4A4"/>
    <w:rPr>
      <w:color w:val="808080"/>
    </w:rPr>
  </w:style>
  <w:style w:type="paragraph" w:styleId="BalloonText">
    <w:name w:val="Balloon Text"/>
    <w:basedOn w:val="Normal"/>
    <w:link w:val="BalloonTextChar"/>
    <w:uiPriority w:val="99"/>
    <w:semiHidden/>
    <w:unhideWhenUsed/>
    <w:rsid w:val="0078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L_Guest\Downloads\growth.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Consumption v. Time </a:t>
            </a:r>
          </a:p>
        </c:rich>
      </c:tx>
      <c:overlay val="1"/>
    </c:title>
    <c:autoTitleDeleted val="0"/>
    <c:plotArea>
      <c:layout/>
      <c:scatterChart>
        <c:scatterStyle val="smoothMarker"/>
        <c:varyColors val="0"/>
        <c:ser>
          <c:idx val="0"/>
          <c:order val="0"/>
          <c:tx>
            <c:v>0.90</c:v>
          </c:tx>
          <c:xVal>
            <c:numRef>
              <c:f>[growth.xls]growth!$B$4:$J$4</c:f>
              <c:numCache>
                <c:formatCode>General</c:formatCode>
                <c:ptCount val="9"/>
                <c:pt idx="0">
                  <c:v>0</c:v>
                </c:pt>
                <c:pt idx="1">
                  <c:v>1</c:v>
                </c:pt>
                <c:pt idx="2">
                  <c:v>2</c:v>
                </c:pt>
                <c:pt idx="3">
                  <c:v>3</c:v>
                </c:pt>
                <c:pt idx="4">
                  <c:v>4</c:v>
                </c:pt>
                <c:pt idx="5">
                  <c:v>5</c:v>
                </c:pt>
                <c:pt idx="6">
                  <c:v>6</c:v>
                </c:pt>
                <c:pt idx="7">
                  <c:v>7</c:v>
                </c:pt>
                <c:pt idx="8">
                  <c:v>8</c:v>
                </c:pt>
              </c:numCache>
            </c:numRef>
          </c:xVal>
          <c:yVal>
            <c:numRef>
              <c:f>[growth.xls]growth!$A$24:$I$24</c:f>
              <c:numCache>
                <c:formatCode>0.000</c:formatCode>
                <c:ptCount val="9"/>
                <c:pt idx="0">
                  <c:v>0.60893176173808217</c:v>
                </c:pt>
                <c:pt idx="1">
                  <c:v>0.52011519159329378</c:v>
                </c:pt>
                <c:pt idx="2">
                  <c:v>0.44429302898378414</c:v>
                </c:pt>
                <c:pt idx="3">
                  <c:v>0.3794902324583701</c:v>
                </c:pt>
                <c:pt idx="4">
                  <c:v>0.32372080231942296</c:v>
                </c:pt>
                <c:pt idx="5">
                  <c:v>0.27557184412513858</c:v>
                </c:pt>
                <c:pt idx="6">
                  <c:v>0.23428773739824837</c:v>
                </c:pt>
                <c:pt idx="7">
                  <c:v>0.19939908450410748</c:v>
                </c:pt>
                <c:pt idx="8">
                  <c:v>0.16908629891490309</c:v>
                </c:pt>
              </c:numCache>
            </c:numRef>
          </c:yVal>
          <c:smooth val="1"/>
        </c:ser>
        <c:ser>
          <c:idx val="1"/>
          <c:order val="1"/>
          <c:tx>
            <c:v>0.80</c:v>
          </c:tx>
          <c:xVal>
            <c:numRef>
              <c:f>[growth.xls]growth!$B$4:$J$4</c:f>
              <c:numCache>
                <c:formatCode>General</c:formatCode>
                <c:ptCount val="9"/>
                <c:pt idx="0">
                  <c:v>0</c:v>
                </c:pt>
                <c:pt idx="1">
                  <c:v>1</c:v>
                </c:pt>
                <c:pt idx="2">
                  <c:v>2</c:v>
                </c:pt>
                <c:pt idx="3">
                  <c:v>3</c:v>
                </c:pt>
                <c:pt idx="4">
                  <c:v>4</c:v>
                </c:pt>
                <c:pt idx="5">
                  <c:v>5</c:v>
                </c:pt>
                <c:pt idx="6">
                  <c:v>6</c:v>
                </c:pt>
                <c:pt idx="7">
                  <c:v>7</c:v>
                </c:pt>
                <c:pt idx="8">
                  <c:v>8</c:v>
                </c:pt>
              </c:numCache>
            </c:numRef>
          </c:xVal>
          <c:yVal>
            <c:numRef>
              <c:f>[growth.xls]growth!$A$25:$I$25</c:f>
              <c:numCache>
                <c:formatCode>0.000</c:formatCode>
                <c:ptCount val="9"/>
                <c:pt idx="0">
                  <c:v>1.0216250656321879</c:v>
                </c:pt>
                <c:pt idx="1">
                  <c:v>0.69128475263884193</c:v>
                </c:pt>
                <c:pt idx="2">
                  <c:v>0.46806217470053824</c:v>
                </c:pt>
                <c:pt idx="3">
                  <c:v>0.31674451359302197</c:v>
                </c:pt>
                <c:pt idx="4">
                  <c:v>0.21400072551757732</c:v>
                </c:pt>
                <c:pt idx="5">
                  <c:v>0.14441290847482291</c:v>
                </c:pt>
                <c:pt idx="6">
                  <c:v>9.7256790029222856E-2</c:v>
                </c:pt>
                <c:pt idx="7">
                  <c:v>6.531969489771175E-2</c:v>
                </c:pt>
                <c:pt idx="8">
                  <c:v>4.3751766112066583E-2</c:v>
                </c:pt>
              </c:numCache>
            </c:numRef>
          </c:yVal>
          <c:smooth val="1"/>
        </c:ser>
        <c:ser>
          <c:idx val="2"/>
          <c:order val="2"/>
          <c:tx>
            <c:v>0.70</c:v>
          </c:tx>
          <c:xVal>
            <c:numRef>
              <c:f>[growth.xls]growth!$B$4:$J$4</c:f>
              <c:numCache>
                <c:formatCode>General</c:formatCode>
                <c:ptCount val="9"/>
                <c:pt idx="0">
                  <c:v>0</c:v>
                </c:pt>
                <c:pt idx="1">
                  <c:v>1</c:v>
                </c:pt>
                <c:pt idx="2">
                  <c:v>2</c:v>
                </c:pt>
                <c:pt idx="3">
                  <c:v>3</c:v>
                </c:pt>
                <c:pt idx="4">
                  <c:v>4</c:v>
                </c:pt>
                <c:pt idx="5">
                  <c:v>5</c:v>
                </c:pt>
                <c:pt idx="6">
                  <c:v>6</c:v>
                </c:pt>
                <c:pt idx="7">
                  <c:v>7</c:v>
                </c:pt>
                <c:pt idx="8">
                  <c:v>8</c:v>
                </c:pt>
              </c:numCache>
            </c:numRef>
          </c:xVal>
          <c:yVal>
            <c:numRef>
              <c:f>[growth.xls]growth!$A$26:$I$26</c:f>
              <c:numCache>
                <c:formatCode>0.000</c:formatCode>
                <c:ptCount val="9"/>
                <c:pt idx="0">
                  <c:v>1.815191754865864</c:v>
                </c:pt>
                <c:pt idx="1">
                  <c:v>0.70420790789810583</c:v>
                </c:pt>
                <c:pt idx="2">
                  <c:v>0.27349212369123266</c:v>
                </c:pt>
                <c:pt idx="3">
                  <c:v>0.10602492184279734</c:v>
                </c:pt>
                <c:pt idx="4">
                  <c:v>4.1045340744787731E-2</c:v>
                </c:pt>
                <c:pt idx="5">
                  <c:v>1.5842749497640449E-2</c:v>
                </c:pt>
                <c:pt idx="6">
                  <c:v>6.100505864170911E-3</c:v>
                </c:pt>
                <c:pt idx="7">
                  <c:v>2.343570808124616E-3</c:v>
                </c:pt>
                <c:pt idx="8">
                  <c:v>8.9793590279977297E-4</c:v>
                </c:pt>
              </c:numCache>
            </c:numRef>
          </c:yVal>
          <c:smooth val="1"/>
        </c:ser>
        <c:ser>
          <c:idx val="3"/>
          <c:order val="3"/>
          <c:tx>
            <c:v>0.98</c:v>
          </c:tx>
          <c:xVal>
            <c:numRef>
              <c:f>[growth.xls]growth!$B$4:$J$4</c:f>
              <c:numCache>
                <c:formatCode>General</c:formatCode>
                <c:ptCount val="9"/>
                <c:pt idx="0">
                  <c:v>0</c:v>
                </c:pt>
                <c:pt idx="1">
                  <c:v>1</c:v>
                </c:pt>
                <c:pt idx="2">
                  <c:v>2</c:v>
                </c:pt>
                <c:pt idx="3">
                  <c:v>3</c:v>
                </c:pt>
                <c:pt idx="4">
                  <c:v>4</c:v>
                </c:pt>
                <c:pt idx="5">
                  <c:v>5</c:v>
                </c:pt>
                <c:pt idx="6">
                  <c:v>6</c:v>
                </c:pt>
                <c:pt idx="7">
                  <c:v>7</c:v>
                </c:pt>
                <c:pt idx="8">
                  <c:v>8</c:v>
                </c:pt>
              </c:numCache>
            </c:numRef>
          </c:xVal>
          <c:yVal>
            <c:numRef>
              <c:f>[growth.xls]growth!$A$23:$I$23</c:f>
              <c:numCache>
                <c:formatCode>0.000</c:formatCode>
                <c:ptCount val="9"/>
                <c:pt idx="0" formatCode="General">
                  <c:v>0.34688744615198469</c:v>
                </c:pt>
                <c:pt idx="1">
                  <c:v>0.3508907855445626</c:v>
                </c:pt>
                <c:pt idx="2">
                  <c:v>0.35466367109456881</c:v>
                </c:pt>
                <c:pt idx="3">
                  <c:v>0.35804109712188958</c:v>
                </c:pt>
                <c:pt idx="4">
                  <c:v>0.36107623244375886</c:v>
                </c:pt>
                <c:pt idx="5">
                  <c:v>0.36380383326255494</c:v>
                </c:pt>
                <c:pt idx="6">
                  <c:v>0.3662460461183723</c:v>
                </c:pt>
                <c:pt idx="7">
                  <c:v>0.36841575793508247</c:v>
                </c:pt>
                <c:pt idx="8">
                  <c:v>0.37031971481564063</c:v>
                </c:pt>
              </c:numCache>
            </c:numRef>
          </c:yVal>
          <c:smooth val="1"/>
        </c:ser>
        <c:dLbls>
          <c:showLegendKey val="0"/>
          <c:showVal val="0"/>
          <c:showCatName val="0"/>
          <c:showSerName val="0"/>
          <c:showPercent val="0"/>
          <c:showBubbleSize val="0"/>
        </c:dLbls>
        <c:axId val="162298496"/>
        <c:axId val="162439936"/>
      </c:scatterChart>
      <c:valAx>
        <c:axId val="162298496"/>
        <c:scaling>
          <c:orientation val="minMax"/>
        </c:scaling>
        <c:delete val="0"/>
        <c:axPos val="b"/>
        <c:title>
          <c:tx>
            <c:rich>
              <a:bodyPr/>
              <a:lstStyle/>
              <a:p>
                <a:pPr>
                  <a:defRPr/>
                </a:pPr>
                <a:r>
                  <a:rPr lang="en-US"/>
                  <a:t>Period</a:t>
                </a:r>
              </a:p>
            </c:rich>
          </c:tx>
          <c:overlay val="0"/>
        </c:title>
        <c:numFmt formatCode="General" sourceLinked="1"/>
        <c:majorTickMark val="out"/>
        <c:minorTickMark val="none"/>
        <c:tickLblPos val="nextTo"/>
        <c:crossAx val="162439936"/>
        <c:crosses val="autoZero"/>
        <c:crossBetween val="midCat"/>
      </c:valAx>
      <c:valAx>
        <c:axId val="162439936"/>
        <c:scaling>
          <c:orientation val="minMax"/>
        </c:scaling>
        <c:delete val="0"/>
        <c:axPos val="l"/>
        <c:majorGridlines/>
        <c:title>
          <c:tx>
            <c:rich>
              <a:bodyPr rot="-5400000" vert="horz"/>
              <a:lstStyle/>
              <a:p>
                <a:pPr>
                  <a:defRPr/>
                </a:pPr>
                <a:r>
                  <a:rPr lang="en-US"/>
                  <a:t>Consumption (units)</a:t>
                </a:r>
              </a:p>
            </c:rich>
          </c:tx>
          <c:overlay val="0"/>
        </c:title>
        <c:numFmt formatCode="0.000" sourceLinked="1"/>
        <c:majorTickMark val="out"/>
        <c:minorTickMark val="none"/>
        <c:tickLblPos val="nextTo"/>
        <c:crossAx val="16229849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A4474-6EBD-4F04-9088-68C14EFB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ARL_Guest</dc:creator>
  <cp:lastModifiedBy>ARL_Guest</cp:lastModifiedBy>
  <cp:revision>2</cp:revision>
  <dcterms:created xsi:type="dcterms:W3CDTF">2013-09-13T00:12:00Z</dcterms:created>
  <dcterms:modified xsi:type="dcterms:W3CDTF">2013-09-13T06:44:00Z</dcterms:modified>
</cp:coreProperties>
</file>