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C0732" w:rsidRPr="005A63B9" w:rsidRDefault="005A63B9" w:rsidP="005A63B9">
      <w:pPr>
        <w:pStyle w:val="a4"/>
        <w:ind w:firstLine="321"/>
        <w:jc w:val="center"/>
        <w:rPr>
          <w:rFonts w:ascii="宋体"/>
          <w:b/>
          <w:sz w:val="32"/>
          <w:szCs w:val="32"/>
        </w:rPr>
      </w:pPr>
      <w:r w:rsidRPr="005A63B9">
        <w:rPr>
          <w:rFonts w:ascii="宋体" w:hint="eastAsia" w:hAnsi="宋体" w:eastAsia="宋体"/>
          <w:b/>
          <w:sz w:val="36"/>
          <w:szCs w:val="32"/>
        </w:rPr>
        <w:t>迭代计划</w:t>
      </w:r>
    </w:p>
    <w:p w14:paraId="5508E6BF" w14:textId="09A06C90" w:rsidR="005A63B9" w:rsidRPr="005A63B9" w:rsidRDefault="00CD4BB9" w:rsidP="005A63B9">
      <w:pPr>
        <w:pStyle w:val="a4"/>
        <w:ind w:firstLineChars="0" w:firstLine="0"/>
        <w:jc w:val="right"/>
        <w:rPr>
          <w:rFonts w:ascii="宋体"/>
          <w:szCs w:val="21"/>
        </w:rPr>
      </w:pPr>
      <w:r>
        <w:rPr>
          <w:rFonts w:ascii="宋体" w:hAnsi="宋体" w:eastAsia="宋体"/>
          <w:b w:val="0"/>
          <w:sz w:val="21"/>
        </w:rPr>
        <w:t>制定日期：2026年7月6日</w:t>
      </w:r>
    </w:p>
    <w:tbl>
      <w:tblPr>
        <w:tblW w:w="8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论文代码双向追溯 Web 工作台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第1次迭代：需求澄清与核心原型搭建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2026年7月6日—2026年7月12日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22"/>
              </w:rPr>
              <w:t>任务、进度安排和人员分配：</w:t>
            </w:r>
          </w:p>
          <w:tbl>
            <w:tblPr>
              <w:tblStyle w:val="a5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48"/>
              <w:gridCol w:w="2148"/>
              <w:gridCol w:w="2148"/>
              <w:gridCol w:w="2148"/>
            </w:tblGrid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No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任务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起止日期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8"/>
                    </w:rPr>
                    <w:t>人员</w:t>
                  </w:r>
                </w:p>
              </w:tc>
            </w:tr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1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确认项目定位和技术选型：确定“独立 Web 工作台为主体，预留 IDE 插件扩展入口”的总体方案；明确前端、后端、数据库、PDF 解析、代码静态分析和 RAG 的技术路线。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7月6日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全体成员；秦浩翔负责整理</w:t>
                  </w:r>
                </w:p>
              </w:tc>
            </w:tr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2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搭建项目协作环境：建立 Git 仓库、分支规范、提交规范、任务看板和接口文档目录；完成前端 Vue3 + TypeScript 与后端 FastAPI 的初始工程。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7月6日—7月7日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张朴、钱闵浩</w:t>
                  </w:r>
                </w:p>
              </w:tc>
            </w:tr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3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完成需求细化与原型设计：将基本需求拆分为上传导入、论文解析、代码分析、追溯展示、项目管理、报告导出等模块；绘制核心页面低保真原型。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7月7日—7月8日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秦浩翔、俞冠廷</w:t>
                  </w:r>
                </w:p>
              </w:tc>
            </w:tr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4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实现论文 PDF 解析最小原型：调研并试用 PyMuPDF / pdfplumber，完成标题、摘要、章节、段落和页码信息的提取，形成论文侧结构化 JSON。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7月8日—7月9日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俞冠廷</w:t>
                  </w:r>
                </w:p>
              </w:tc>
            </w:tr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5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实现代码仓库导入与静态分析最小原型：支持上传代码压缩包或绑定仓库地址，解析目录结构，并基于 ast / tree-sitter 提取 Python 类、函数、导入关系和 nn.Module 结构。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7月8日—7月9日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张朴、钱闵浩</w:t>
                  </w:r>
                </w:p>
              </w:tc>
            </w:tr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6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设计数据库和数据模型：完成用户、项目、论文片段、代码片段、追溯关系、人工修正记录和报告记录的数据表设计。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7月9日—7月10日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钱闵浩、秦浩翔</w:t>
                  </w:r>
                </w:p>
              </w:tc>
            </w:tr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完成 Web 工作台前端骨架：实现项目列表页、项目详情页、左右分栏阅读/代码浏览页面、文件树展示和追溯结果面板的静态页面。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7月10日—7月11日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张朴、俞冠廷</w:t>
                  </w:r>
                </w:p>
              </w:tc>
            </w:tr>
            <w:tr>
              <w:tc>
                <w:tcPr>
                  <w:tcW w:type="dxa" w:w="510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8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完成第一次迭代联调与展示材料：打通“创建项目—上传论文/代码—显示解析结果—展示候选追溯关系”的最小流程；整理迭代总结和演示截图。</w:t>
                  </w:r>
                </w:p>
              </w:tc>
              <w:tc>
                <w:tcPr>
                  <w:tcW w:type="dxa" w:w="1417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7月11日—7月12日</w:t>
                  </w:r>
                </w:p>
              </w:tc>
              <w:tc>
                <w:tcPr>
                  <w:tcW w:type="dxa" w:w="2041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6"/>
                    </w:rPr>
                    <w:t>全体成员；秦浩翔负责汇总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22"/>
              </w:rPr>
              <w:t>预期成果：</w:t>
            </w:r>
          </w:p>
          <w:p>
            <w:pPr>
              <w:spacing w:after="0" w:line="240" w:lineRule="auto"/>
              <w:ind w:left="283" w:hanging="170"/>
            </w:pPr>
            <w:r>
              <w:rPr>
                <w:rFonts w:ascii="宋体" w:hAnsi="宋体" w:eastAsia="宋体"/>
                <w:sz w:val="19"/>
              </w:rPr>
              <w:t>• 《需求细化与模块拆分说明》1份；</w:t>
            </w:r>
          </w:p>
          <w:p>
            <w:pPr>
              <w:spacing w:after="0" w:line="240" w:lineRule="auto"/>
              <w:ind w:left="283" w:hanging="170"/>
            </w:pPr>
            <w:r>
              <w:rPr>
                <w:rFonts w:ascii="宋体" w:hAnsi="宋体" w:eastAsia="宋体"/>
                <w:sz w:val="19"/>
              </w:rPr>
              <w:t>• 《技术选型说明》1份，明确 Web 工作台主体架构和后续 VS Code 插件扩展方案；</w:t>
            </w:r>
          </w:p>
          <w:p>
            <w:pPr>
              <w:spacing w:after="0" w:line="240" w:lineRule="auto"/>
              <w:ind w:left="283" w:hanging="170"/>
            </w:pPr>
            <w:r>
              <w:rPr>
                <w:rFonts w:ascii="宋体" w:hAnsi="宋体" w:eastAsia="宋体"/>
                <w:sz w:val="19"/>
              </w:rPr>
              <w:t>• 前后端项目骨架代码：Vue3 + TypeScript 前端工程、FastAPI 后端工程、基础接口示例；</w:t>
            </w:r>
          </w:p>
          <w:p>
            <w:pPr>
              <w:spacing w:after="0" w:line="240" w:lineRule="auto"/>
              <w:ind w:left="283" w:hanging="170"/>
            </w:pPr>
            <w:r>
              <w:rPr>
                <w:rFonts w:ascii="宋体" w:hAnsi="宋体" w:eastAsia="宋体"/>
                <w:sz w:val="19"/>
              </w:rPr>
              <w:t>• 数据库初版设计文档和建表脚本草稿；</w:t>
            </w:r>
          </w:p>
          <w:p>
            <w:pPr>
              <w:spacing w:after="0" w:line="240" w:lineRule="auto"/>
              <w:ind w:left="283" w:hanging="170"/>
            </w:pPr>
            <w:r>
              <w:rPr>
                <w:rFonts w:ascii="宋体" w:hAnsi="宋体" w:eastAsia="宋体"/>
                <w:sz w:val="19"/>
              </w:rPr>
              <w:t>• 论文 PDF 解析最小原型：能够输出论文标题、摘要、章节、段落、页码等结构化 JSON；</w:t>
            </w:r>
          </w:p>
          <w:p>
            <w:pPr>
              <w:spacing w:after="0" w:line="240" w:lineRule="auto"/>
              <w:ind w:left="283" w:hanging="170"/>
            </w:pPr>
            <w:r>
              <w:rPr>
                <w:rFonts w:ascii="宋体" w:hAnsi="宋体" w:eastAsia="宋体"/>
                <w:sz w:val="19"/>
              </w:rPr>
              <w:t>• 代码静态分析最小原型：能够输出文件树、类、函数、导入关系和 PyTorch 模型结构候选信息；</w:t>
            </w:r>
          </w:p>
          <w:p>
            <w:pPr>
              <w:spacing w:after="0" w:line="240" w:lineRule="auto"/>
              <w:ind w:left="283" w:hanging="170"/>
            </w:pPr>
            <w:r>
              <w:rPr>
                <w:rFonts w:ascii="宋体" w:hAnsi="宋体" w:eastAsia="宋体"/>
                <w:sz w:val="19"/>
              </w:rPr>
              <w:t>• Web 工作台低保真/静态页面原型，包括项目列表、上传页面、论文阅读区、代码浏览区和追溯结果面板；</w:t>
            </w:r>
          </w:p>
          <w:p>
            <w:pPr>
              <w:spacing w:after="0" w:line="240" w:lineRule="auto"/>
              <w:ind w:left="283" w:hanging="170"/>
            </w:pPr>
            <w:r>
              <w:rPr>
                <w:rFonts w:ascii="宋体" w:hAnsi="宋体" w:eastAsia="宋体"/>
                <w:sz w:val="19"/>
              </w:rPr>
              <w:t>• 第一次迭代演示材料，包括运行截图、阶段总结和下一迭代待办。</w:t>
            </w: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/>
                <w:sz w:val="22"/>
              </w:rPr>
              <w:t>主要的风险和应对方案：</w:t>
            </w:r>
          </w:p>
          <w:tbl>
            <w:tblPr>
              <w:tblStyle w:val="a5"/>
              <w:tblW w:type="auto" w:w="0"/>
              <w:tblLook w:firstColumn="1" w:firstRow="1" w:lastColumn="0" w:lastRow="0" w:noHBand="0" w:noVBand="1" w:val="04A0"/>
            </w:tblPr>
            <w:tblGrid>
              <w:gridCol w:w="1719"/>
              <w:gridCol w:w="1719"/>
              <w:gridCol w:w="1719"/>
              <w:gridCol w:w="1719"/>
              <w:gridCol w:w="1719"/>
            </w:tblGrid>
            <w:tr>
              <w:tc>
                <w:tcPr>
                  <w:tcW w:type="dxa" w:w="1719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优先级</w:t>
                  </w:r>
                </w:p>
              </w:tc>
              <w:tc>
                <w:tcPr>
                  <w:tcW w:type="dxa" w:w="1719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风险</w:t>
                  </w:r>
                </w:p>
              </w:tc>
              <w:tc>
                <w:tcPr>
                  <w:tcW w:type="dxa" w:w="1719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缓解措施</w:t>
                  </w:r>
                </w:p>
              </w:tc>
              <w:tc>
                <w:tcPr>
                  <w:tcW w:type="dxa" w:w="1719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应急措施</w:t>
                  </w:r>
                </w:p>
              </w:tc>
              <w:tc>
                <w:tcPr>
                  <w:tcW w:type="dxa" w:w="1719"/>
                </w:tcPr>
                <w:p>
                  <w:pPr>
                    <w:jc w:val="center"/>
                  </w:pPr>
                  <w:r/>
                  <w:r>
                    <w:rPr>
                      <w:rFonts w:ascii="宋体" w:hAnsi="宋体" w:eastAsia="宋体"/>
                      <w:b/>
                      <w:sz w:val="17"/>
                    </w:rPr>
                    <w:t>负责人</w:t>
                  </w:r>
                </w:p>
              </w:tc>
            </w:tr>
            <w:tr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1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需求范围过大，进阶功能过多，导致第一周无法形成可演示闭环。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缓解：本迭代只保证最小闭环，即上传项目、解析论文/代码、展示结果；多模态对齐、动态追踪、魔改影响分析暂不作为第一周必须完成项。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应急：若进度滞后，优先保留论文解析、代码目录展示和手工追溯链接，暂缓自动匹配。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秦浩翔</w:t>
                  </w:r>
                </w:p>
              </w:tc>
            </w:tr>
            <w:tr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2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论文 PDF 版面复杂，公式、图表和算法框识别效果不稳定。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缓解：第一版先提取标题、摘要、章节、段落和页码；公式和图表先记录所在页与附近文本，避免一开始追求高精度识别。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应急：选取 1—2 篇版式较规范的深度学习论文作为演示样例，并允许人工修正解析结果。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俞冠廷</w:t>
                  </w:r>
                </w:p>
              </w:tc>
            </w:tr>
            <w:tr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3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Python / PyTorch 代码静态分析难度较高，复杂仓库调用关系不易准确提取。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缓解：第一版聚焦 Python 文件、类、函数、import、nn.Module、forward 方法和配置文件，不强求完整跨文件调用图。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应急：对演示仓库增加规则化扫描和关键词匹配，先保证核心模型文件、训练脚本和损失函数能够被定位。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张朴</w:t>
                  </w:r>
                </w:p>
              </w:tc>
            </w:tr>
            <w:tr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4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前后端、数据库、解析模块并行开发时接口不统一，影响联调。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缓解：尽早定义项目、论文片段、代码片段、追溯关系等核心 JSON 数据格式，并维护接口文档。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应急：使用 mock 数据支撑前端开发，后端解析结果后续按约定格式替换。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钱闵浩</w:t>
                  </w:r>
                </w:p>
              </w:tc>
            </w:tr>
            <w:tr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5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大模型或向量检索调用成本、速度和稳定性存在不确定性。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缓解：第一周先以关键词匹配和向量检索原型为主，大模型解释作为可选接口；缓存分析结果，避免重复调用。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应急：若大模型接口不可用，使用规则匹配结果和人工说明完成演示。</w:t>
                  </w:r>
                </w:p>
              </w:tc>
              <w:tc>
                <w:tcPr>
                  <w:tcW w:type="dxa" w:w="1719"/>
                  <w:vAlign w:val="center"/>
                </w:tcPr>
                <w:p>
                  <w:pPr>
                    <w:spacing w:after="0"/>
                    <w:jc w:val="center"/>
                  </w:pPr>
                  <w:r/>
                  <w:r>
                    <w:rPr>
                      <w:rFonts w:ascii="宋体" w:hAnsi="宋体" w:eastAsia="宋体"/>
                      <w:sz w:val="15"/>
                    </w:rPr>
                    <w:t>全体成员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850" w:right="850" w:bottom="850" w:left="85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F8498" w14:textId="77777777" w:rsidR="00100266" w:rsidRDefault="00100266" w:rsidP="00B92261">
      <w:r>
        <w:separator/>
      </w:r>
    </w:p>
  </w:endnote>
  <w:endnote w:type="continuationSeparator" w:id="0">
    <w:p w14:paraId="081D9189" w14:textId="77777777" w:rsidR="00100266" w:rsidRDefault="00100266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32C0B" w14:textId="77777777" w:rsidR="00100266" w:rsidRDefault="00100266" w:rsidP="00B92261">
      <w:r>
        <w:separator/>
      </w:r>
    </w:p>
  </w:footnote>
  <w:footnote w:type="continuationSeparator" w:id="0">
    <w:p w14:paraId="44F29CF2" w14:textId="77777777" w:rsidR="00100266" w:rsidRDefault="00100266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>SJTU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beijun shen</cp:lastModifiedBy>
  <cp:revision>5</cp:revision>
  <dcterms:created xsi:type="dcterms:W3CDTF">2020-09-03T10:57:00Z</dcterms:created>
  <dcterms:modified xsi:type="dcterms:W3CDTF">2025-08-11T01:14:00Z</dcterms:modified>
</cp:coreProperties>
</file>