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98872395"/>
      <w:r>
        <w:lastRenderedPageBreak/>
        <w:t>Содержание</w:t>
      </w:r>
      <w:bookmarkEnd w:id="0"/>
    </w:p>
    <w:p w14:paraId="344DEB14" w14:textId="7DBF06A7" w:rsidR="008138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98872395" w:history="1">
        <w:r w:rsidR="00813861" w:rsidRPr="00F10634">
          <w:rPr>
            <w:rStyle w:val="ac"/>
            <w:noProof/>
          </w:rPr>
          <w:t>Содержание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_Toc98872395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2</w:t>
        </w:r>
        <w:r w:rsidR="00813861">
          <w:rPr>
            <w:noProof/>
            <w:webHidden/>
          </w:rPr>
          <w:fldChar w:fldCharType="end"/>
        </w:r>
      </w:hyperlink>
    </w:p>
    <w:p w14:paraId="2C402FA4" w14:textId="74A19BB1" w:rsidR="00813861" w:rsidRDefault="000C785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6" w:history="1">
        <w:r w:rsidR="00813861" w:rsidRPr="00F10634">
          <w:rPr>
            <w:rStyle w:val="ac"/>
            <w:noProof/>
          </w:rPr>
          <w:t>Спецификация задания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_Toc98872396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3</w:t>
        </w:r>
        <w:r w:rsidR="00813861">
          <w:rPr>
            <w:noProof/>
            <w:webHidden/>
          </w:rPr>
          <w:fldChar w:fldCharType="end"/>
        </w:r>
      </w:hyperlink>
    </w:p>
    <w:p w14:paraId="35706418" w14:textId="3EE4965C" w:rsidR="00813861" w:rsidRDefault="000C785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7" w:history="1">
        <w:r w:rsidR="00813861" w:rsidRPr="00F10634">
          <w:rPr>
            <w:rStyle w:val="ac"/>
            <w:noProof/>
          </w:rPr>
          <w:t>Постановка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_Toc98872397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5</w:t>
        </w:r>
        <w:r w:rsidR="00813861">
          <w:rPr>
            <w:noProof/>
            <w:webHidden/>
          </w:rPr>
          <w:fldChar w:fldCharType="end"/>
        </w:r>
      </w:hyperlink>
    </w:p>
    <w:p w14:paraId="33BCCB6E" w14:textId="11573BCF" w:rsidR="00813861" w:rsidRDefault="000C785A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872398" w:history="1">
        <w:r w:rsidR="00813861" w:rsidRPr="00F10634">
          <w:rPr>
            <w:rStyle w:val="ac"/>
            <w:noProof/>
          </w:rPr>
          <w:t>Формализованное описание алгоритма решения задачи</w:t>
        </w:r>
        <w:r w:rsidR="00813861">
          <w:rPr>
            <w:noProof/>
            <w:webHidden/>
          </w:rPr>
          <w:tab/>
        </w:r>
        <w:r w:rsidR="00813861">
          <w:rPr>
            <w:noProof/>
            <w:webHidden/>
          </w:rPr>
          <w:fldChar w:fldCharType="begin"/>
        </w:r>
        <w:r w:rsidR="00813861">
          <w:rPr>
            <w:noProof/>
            <w:webHidden/>
          </w:rPr>
          <w:instrText xml:space="preserve"> PAGEREF _Toc98872398 \h </w:instrText>
        </w:r>
        <w:r w:rsidR="00813861">
          <w:rPr>
            <w:noProof/>
            <w:webHidden/>
          </w:rPr>
        </w:r>
        <w:r w:rsidR="00813861">
          <w:rPr>
            <w:noProof/>
            <w:webHidden/>
          </w:rPr>
          <w:fldChar w:fldCharType="separate"/>
        </w:r>
        <w:r w:rsidR="00813861">
          <w:rPr>
            <w:noProof/>
            <w:webHidden/>
          </w:rPr>
          <w:t>7</w:t>
        </w:r>
        <w:r w:rsidR="00813861">
          <w:rPr>
            <w:noProof/>
            <w:webHidden/>
          </w:rPr>
          <w:fldChar w:fldCharType="end"/>
        </w:r>
      </w:hyperlink>
    </w:p>
    <w:p w14:paraId="247131FD" w14:textId="6CD5053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988723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4BFA7939" w14:textId="2BB4DA5A" w:rsidR="00E31BF5" w:rsidRDefault="00E31BF5" w:rsidP="00D440CB">
      <w:pPr>
        <w:pStyle w:val="ad"/>
        <w:numPr>
          <w:ilvl w:val="2"/>
          <w:numId w:val="6"/>
        </w:numPr>
      </w:pPr>
      <w:r>
        <w:t xml:space="preserve">Контрольный пример должен быть представлен в виде графиков и расчётов в программе </w:t>
      </w:r>
      <w:r w:rsidRPr="00D440CB">
        <w:rPr>
          <w:lang w:val="en-US"/>
        </w:rPr>
        <w:t>Mathcad</w:t>
      </w:r>
      <w:r>
        <w:t>, подтверждающих правильность результата.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988723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0C785A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336462AD" w:rsidR="00660569" w:rsidRPr="00AB2264" w:rsidRDefault="000C785A" w:rsidP="0066056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0C785A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04C68483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координат,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988723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76537A79" w14:textId="053BB351" w:rsidR="001C627C" w:rsidRDefault="009A3FDA" w:rsidP="004059E6">
      <w:r>
        <w:t>Ди</w:t>
      </w:r>
      <w:r w:rsidR="004059E6">
        <w:t>а</w:t>
      </w:r>
      <w:r>
        <w:t>лог</w:t>
      </w:r>
      <w:r w:rsidR="004059E6">
        <w:t xml:space="preserve"> с описанием – </w:t>
      </w:r>
      <w:proofErr w:type="spellStart"/>
      <w:r w:rsidR="004059E6" w:rsidRPr="004059E6">
        <w:rPr>
          <w:rStyle w:val="af0"/>
        </w:rPr>
        <w:t>MyTaskAboutDlg</w:t>
      </w:r>
      <w:proofErr w:type="spellEnd"/>
      <w:r w:rsidR="004059E6">
        <w:t xml:space="preserve"> содержит </w:t>
      </w:r>
      <w:proofErr w:type="spellStart"/>
      <w:r w:rsidR="004059E6" w:rsidRPr="004059E6">
        <w:rPr>
          <w:rStyle w:val="af0"/>
        </w:rPr>
        <w:t>Cstatic</w:t>
      </w:r>
      <w:proofErr w:type="spellEnd"/>
      <w:r w:rsidR="004059E6" w:rsidRPr="004059E6">
        <w:t xml:space="preserve"> </w:t>
      </w:r>
      <w:r w:rsidR="004059E6">
        <w:t>с более подробным описанием задания.</w:t>
      </w:r>
    </w:p>
    <w:p w14:paraId="5E5AD7E8" w14:textId="4C2E6119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7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4 для настроек масштаба) , </w:t>
      </w:r>
      <w:r w:rsidR="00BE7D8B" w:rsidRPr="00BE7D8B">
        <w:t xml:space="preserve">1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BE7D8B" w:rsidRPr="00BE7D8B">
        <w:t xml:space="preserve">,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 xml:space="preserve">флажок) для установки логарифмического масштаба, 4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15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 и 14 для пояснения приглашений ко вводу)</w:t>
      </w:r>
      <w:r w:rsidR="0037754E">
        <w:t xml:space="preserve">, а также объект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 – объекты, описывающие сигнальную функцию и функцию дискретного преобразования Фурье, необходимые для построения графиков</w:t>
      </w:r>
      <w:r w:rsidR="000F3CC0">
        <w:t>.</w:t>
      </w:r>
    </w:p>
    <w:p w14:paraId="26B545F3" w14:textId="77777777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proofErr w:type="gramStart"/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proofErr w:type="gramEnd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 xml:space="preserve">, в котором из объекта </w:t>
      </w:r>
      <w:proofErr w:type="spellStart"/>
      <w:r>
        <w:rPr>
          <w:lang w:val="en-US"/>
        </w:rPr>
        <w:t>CMyGraph</w:t>
      </w:r>
      <w:proofErr w:type="spellEnd"/>
      <w:r w:rsidRPr="000F3CC0">
        <w:t xml:space="preserve"> </w:t>
      </w:r>
      <w:proofErr w:type="spellStart"/>
      <w:r>
        <w:rPr>
          <w:lang w:val="en-US"/>
        </w:rPr>
        <w:t>CGraph</w:t>
      </w:r>
      <w:proofErr w:type="spellEnd"/>
      <w:r>
        <w:t xml:space="preserve"> </w:t>
      </w:r>
      <w:r w:rsidR="006A16AB">
        <w:t>извлекается картинка и сохраняется в выбранное место.</w:t>
      </w:r>
    </w:p>
    <w:p w14:paraId="2A4FEBF4" w14:textId="53B75520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proofErr w:type="gramStart"/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proofErr w:type="gramEnd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управления.</w:t>
      </w:r>
    </w:p>
    <w:p w14:paraId="3B4987F7" w14:textId="4352065E" w:rsidR="006A16AB" w:rsidRPr="008404CE" w:rsidRDefault="006A16AB" w:rsidP="006A16AB">
      <w:r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Pr="006A16AB">
        <w:rPr>
          <w:rStyle w:val="af0"/>
          <w:lang w:val="ru-RU"/>
        </w:rPr>
        <w:t xml:space="preserve"> </w:t>
      </w:r>
      <w:proofErr w:type="gramStart"/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proofErr w:type="gramEnd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</w:t>
      </w:r>
      <w:r w:rsidR="008404CE">
        <w:lastRenderedPageBreak/>
        <w:t xml:space="preserve">элементов управления </w:t>
      </w:r>
      <w:r w:rsidR="008404CE" w:rsidRPr="008404CE">
        <w:rPr>
          <w:rStyle w:val="af0"/>
        </w:rPr>
        <w:t>void</w:t>
      </w:r>
      <w:r w:rsidR="008404CE" w:rsidRPr="008404CE">
        <w:rPr>
          <w:rStyle w:val="af0"/>
          <w:lang w:val="ru-RU"/>
        </w:rPr>
        <w:t xml:space="preserve"> 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>
        <w:rPr>
          <w:lang w:val="en-US"/>
        </w:rPr>
        <w:t>CMyGraph</w:t>
      </w:r>
      <w:proofErr w:type="spellEnd"/>
      <w:r w:rsidR="00300E01">
        <w:t xml:space="preserve"> или напрямую объектам сигнальной или полученной функций</w:t>
      </w:r>
      <w:r w:rsidR="008404CE">
        <w:t xml:space="preserve">). Помимо обновления параметров, из этого метода через </w:t>
      </w:r>
      <w:proofErr w:type="spellStart"/>
      <w:proofErr w:type="gram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proofErr w:type="gramEnd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8404CE" w:rsidRPr="008404CE">
        <w:t xml:space="preserve"> </w:t>
      </w:r>
      <w:proofErr w:type="spellStart"/>
      <w:r w:rsidR="008404CE" w:rsidRPr="008404CE">
        <w:rPr>
          <w:rStyle w:val="af0"/>
        </w:rPr>
        <w:t>CGraph</w:t>
      </w:r>
      <w:proofErr w:type="spellEnd"/>
      <w:r w:rsidR="008404CE">
        <w:t xml:space="preserve"> сообщение о необходимости перерисовать окно.</w:t>
      </w:r>
    </w:p>
    <w:p w14:paraId="0F158E4D" w14:textId="10E1C1C8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 xml:space="preserve">функции, графики которых необходимо построить,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29F9C91E" w:rsidR="00931B82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proofErr w:type="spellStart"/>
      <w:r w:rsidRPr="00931B82">
        <w:t>void</w:t>
      </w:r>
      <w:proofErr w:type="spellEnd"/>
      <w:r w:rsidRPr="00931B82">
        <w:t xml:space="preserve"> </w:t>
      </w:r>
      <w:proofErr w:type="spellStart"/>
      <w:proofErr w:type="gram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proofErr w:type="gramEnd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>
        <w:t>который получает от каждой из функций массив точек</w:t>
      </w:r>
      <w:r w:rsidR="00300E01">
        <w:t xml:space="preserve"> (при помощи метода </w:t>
      </w:r>
      <w:r w:rsidR="00300E01" w:rsidRPr="00F234F0">
        <w:rPr>
          <w:rStyle w:val="af0"/>
        </w:rPr>
        <w:t>MathFunction</w:t>
      </w:r>
      <w:r w:rsidR="00300E01" w:rsidRPr="00F234F0">
        <w:rPr>
          <w:rStyle w:val="af0"/>
          <w:lang w:val="ru-RU"/>
        </w:rPr>
        <w:t>::</w:t>
      </w:r>
      <w:r w:rsidR="00300E01" w:rsidRPr="00F234F0">
        <w:rPr>
          <w:rStyle w:val="af0"/>
        </w:rPr>
        <w:t>get</w:t>
      </w:r>
      <w:r w:rsidR="00300E01" w:rsidRPr="00F234F0">
        <w:rPr>
          <w:rStyle w:val="af0"/>
          <w:lang w:val="ru-RU"/>
        </w:rPr>
        <w:t>_</w:t>
      </w:r>
      <w:r w:rsidR="00300E01" w:rsidRPr="00F234F0">
        <w:rPr>
          <w:rStyle w:val="af0"/>
        </w:rPr>
        <w:t>points</w:t>
      </w:r>
      <w:r w:rsidR="00300E01" w:rsidRPr="00F234F0">
        <w:rPr>
          <w:rStyle w:val="af0"/>
          <w:lang w:val="ru-RU"/>
        </w:rPr>
        <w:t>(</w:t>
      </w:r>
      <w:r w:rsidR="00300E01" w:rsidRPr="00216C00">
        <w:rPr>
          <w:rStyle w:val="af0"/>
          <w:lang w:val="ru-RU"/>
        </w:rPr>
        <w:t>)</w:t>
      </w:r>
      <w:r w:rsidR="00300E01">
        <w:t xml:space="preserve"> и строит график, последовательно соединяя точки при помощи </w:t>
      </w:r>
      <w:proofErr w:type="spellStart"/>
      <w:r w:rsidR="00300E01" w:rsidRPr="00F234F0">
        <w:rPr>
          <w:rStyle w:val="af0"/>
        </w:rPr>
        <w:t>CPaintDC</w:t>
      </w:r>
      <w:proofErr w:type="spellEnd"/>
      <w:r w:rsidR="00300E01" w:rsidRPr="00F234F0">
        <w:rPr>
          <w:rStyle w:val="af0"/>
          <w:lang w:val="ru-RU"/>
        </w:rPr>
        <w:t>::</w:t>
      </w:r>
      <w:proofErr w:type="spellStart"/>
      <w:r w:rsidR="00300E01" w:rsidRPr="00F234F0">
        <w:rPr>
          <w:rStyle w:val="af0"/>
        </w:rPr>
        <w:t>LineTo</w:t>
      </w:r>
      <w:proofErr w:type="spellEnd"/>
      <w:r w:rsidR="00300E01" w:rsidRPr="00F234F0">
        <w:rPr>
          <w:rStyle w:val="af0"/>
          <w:lang w:val="ru-RU"/>
        </w:rPr>
        <w:t>(</w:t>
      </w:r>
      <w:r w:rsidR="00300E01" w:rsidRPr="00F234F0">
        <w:rPr>
          <w:rStyle w:val="af0"/>
        </w:rPr>
        <w:t>Point</w:t>
      </w:r>
      <w:r w:rsidR="00300E01" w:rsidRPr="00F234F0">
        <w:rPr>
          <w:rStyle w:val="af0"/>
          <w:lang w:val="ru-RU"/>
        </w:rPr>
        <w:t>)</w:t>
      </w:r>
      <w:r w:rsidR="00300E01" w:rsidRPr="00F234F0">
        <w:t>,</w:t>
      </w:r>
      <w:r w:rsidR="00300E01">
        <w:t xml:space="preserve"> предварительно залив фон области построения необходимым цветом.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093034D9" w:rsidR="009E164F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 также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>– точек в координатах окна и метод его передачи для отрисовки.</w:t>
      </w:r>
    </w:p>
    <w:p w14:paraId="05B6B99A" w14:textId="3A494310" w:rsidR="00804066" w:rsidRPr="00F7387E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 xml:space="preserve">расчёта функции в этой точке и метод перевода </w:t>
      </w:r>
      <w:r w:rsidR="00216C00">
        <w:lastRenderedPageBreak/>
        <w:t>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10CC345B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на расчетном промежутке сохраняются в </w:t>
      </w:r>
      <w:r w:rsidRPr="002F7B32">
        <w:rPr>
          <w:rStyle w:val="af0"/>
        </w:rPr>
        <w:t>vector</w:t>
      </w:r>
      <w:r w:rsidRPr="002F7B32">
        <w:rPr>
          <w:rStyle w:val="af0"/>
          <w:lang w:val="ru-RU"/>
        </w:rPr>
        <w:t>&lt;</w:t>
      </w:r>
      <w:r w:rsidRPr="002F7B32">
        <w:rPr>
          <w:rStyle w:val="af0"/>
        </w:rPr>
        <w:t>double</w:t>
      </w:r>
      <w:r w:rsidRPr="002F7B32">
        <w:rPr>
          <w:rStyle w:val="af0"/>
          <w:lang w:val="ru-RU"/>
        </w:rPr>
        <w:t xml:space="preserve">&gt; </w:t>
      </w:r>
      <w:r w:rsidRPr="002F7B32">
        <w:rPr>
          <w:rStyle w:val="af0"/>
        </w:rPr>
        <w:t>data</w:t>
      </w:r>
      <w:r>
        <w:t xml:space="preserve"> для дальнейшего применения ДПФ.</w:t>
      </w:r>
    </w:p>
    <w:p w14:paraId="65B8FC41" w14:textId="04B246D3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029B152F" w:rsidR="00F31AF9" w:rsidRDefault="00F7387E" w:rsidP="004E0385">
      <w:pPr>
        <w:pStyle w:val="1"/>
      </w:pPr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</w:p>
    <w:p w14:paraId="12886F23" w14:textId="77777777" w:rsidR="00F7387E" w:rsidRPr="00F7387E" w:rsidRDefault="00F7387E" w:rsidP="00F7387E"/>
    <w:p w14:paraId="56AD3EE4" w14:textId="454460F6" w:rsidR="007D71C6" w:rsidRDefault="007D71C6" w:rsidP="007D71C6">
      <w:pPr>
        <w:pStyle w:val="1"/>
      </w:pPr>
      <w:r>
        <w:br w:type="page"/>
      </w:r>
      <w:r>
        <w:lastRenderedPageBreak/>
        <w:t>Выбор и обоснование типов переменных. Разработка структур данных</w:t>
      </w:r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1661C721" w:rsidR="00CE55E0" w:rsidRPr="00CE55E0" w:rsidRDefault="00CE55E0" w:rsidP="007D71C6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lastRenderedPageBreak/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9D3C59" w:rsidRDefault="00F3346D" w:rsidP="007D71C6">
      <w:pPr>
        <w:rPr>
          <w:lang w:val="en-US"/>
        </w:rPr>
      </w:pPr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</m:t>
        </m:r>
        <m:r>
          <w:rPr>
            <w:rFonts w:ascii="Cambria Math" w:hAnsi="Cambria Math"/>
            <w:lang w:val="en-US"/>
          </w:rPr>
          <m:t>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nimatio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lastRenderedPageBreak/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61AEE367" w14:textId="2E77C0B0" w:rsidR="005530D6" w:rsidRPr="00942C58" w:rsidRDefault="005530D6" w:rsidP="00837935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proofErr w:type="gramStart"/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proofErr w:type="gramEnd"/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942C58">
        <w:t>,</w:t>
      </w:r>
    </w:p>
    <w:p w14:paraId="1D79A9E8" w14:textId="77777777" w:rsidR="00461F18" w:rsidRPr="00110704" w:rsidRDefault="00461F18" w:rsidP="007D71C6">
      <w:pPr>
        <w:rPr>
          <w:vertAlign w:val="superscript"/>
        </w:rPr>
      </w:pPr>
    </w:p>
    <w:sectPr w:rsidR="00461F18" w:rsidRPr="00110704" w:rsidSect="00B04AB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37EFC" w14:textId="77777777" w:rsidR="000C785A" w:rsidRDefault="000C785A" w:rsidP="006A23A5">
      <w:pPr>
        <w:spacing w:line="240" w:lineRule="auto"/>
      </w:pPr>
      <w:r>
        <w:separator/>
      </w:r>
    </w:p>
  </w:endnote>
  <w:endnote w:type="continuationSeparator" w:id="0">
    <w:p w14:paraId="2A98A6EA" w14:textId="77777777" w:rsidR="000C785A" w:rsidRDefault="000C785A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79FA8" w14:textId="77777777" w:rsidR="000C785A" w:rsidRDefault="000C785A" w:rsidP="006A23A5">
      <w:pPr>
        <w:spacing w:line="240" w:lineRule="auto"/>
      </w:pPr>
      <w:r>
        <w:separator/>
      </w:r>
    </w:p>
  </w:footnote>
  <w:footnote w:type="continuationSeparator" w:id="0">
    <w:p w14:paraId="145D8844" w14:textId="77777777" w:rsidR="000C785A" w:rsidRDefault="000C785A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1"/>
  </w:num>
  <w:num w:numId="2" w16cid:durableId="1783529205">
    <w:abstractNumId w:val="2"/>
  </w:num>
  <w:num w:numId="3" w16cid:durableId="600142844">
    <w:abstractNumId w:val="4"/>
  </w:num>
  <w:num w:numId="4" w16cid:durableId="56173268">
    <w:abstractNumId w:val="5"/>
  </w:num>
  <w:num w:numId="5" w16cid:durableId="421295348">
    <w:abstractNumId w:val="3"/>
  </w:num>
  <w:num w:numId="6" w16cid:durableId="10732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63351"/>
    <w:rsid w:val="0007082C"/>
    <w:rsid w:val="0007730B"/>
    <w:rsid w:val="000C5CCC"/>
    <w:rsid w:val="000C785A"/>
    <w:rsid w:val="000D0560"/>
    <w:rsid w:val="000D2697"/>
    <w:rsid w:val="000F3CC0"/>
    <w:rsid w:val="00110704"/>
    <w:rsid w:val="00123203"/>
    <w:rsid w:val="00131287"/>
    <w:rsid w:val="0014209B"/>
    <w:rsid w:val="00154D00"/>
    <w:rsid w:val="00173314"/>
    <w:rsid w:val="001B1220"/>
    <w:rsid w:val="001B2479"/>
    <w:rsid w:val="001C627C"/>
    <w:rsid w:val="001E74F7"/>
    <w:rsid w:val="00204A46"/>
    <w:rsid w:val="00211FBB"/>
    <w:rsid w:val="00216C00"/>
    <w:rsid w:val="00235281"/>
    <w:rsid w:val="002358A2"/>
    <w:rsid w:val="00236BBA"/>
    <w:rsid w:val="002413C3"/>
    <w:rsid w:val="002419FB"/>
    <w:rsid w:val="00254753"/>
    <w:rsid w:val="002C44B4"/>
    <w:rsid w:val="002F4D20"/>
    <w:rsid w:val="002F7B32"/>
    <w:rsid w:val="00300E01"/>
    <w:rsid w:val="00303188"/>
    <w:rsid w:val="00304641"/>
    <w:rsid w:val="003438B8"/>
    <w:rsid w:val="00357740"/>
    <w:rsid w:val="00370D23"/>
    <w:rsid w:val="003726E4"/>
    <w:rsid w:val="0037754E"/>
    <w:rsid w:val="003924FD"/>
    <w:rsid w:val="003A7BE4"/>
    <w:rsid w:val="003C2015"/>
    <w:rsid w:val="003D46D2"/>
    <w:rsid w:val="003E7F42"/>
    <w:rsid w:val="004013C5"/>
    <w:rsid w:val="004059E6"/>
    <w:rsid w:val="00412AD1"/>
    <w:rsid w:val="0043703F"/>
    <w:rsid w:val="00461F18"/>
    <w:rsid w:val="004B1FA5"/>
    <w:rsid w:val="004E0385"/>
    <w:rsid w:val="004F2FA5"/>
    <w:rsid w:val="00517F45"/>
    <w:rsid w:val="00551B1D"/>
    <w:rsid w:val="005530D6"/>
    <w:rsid w:val="0056043B"/>
    <w:rsid w:val="005C341C"/>
    <w:rsid w:val="005C46DE"/>
    <w:rsid w:val="006215C7"/>
    <w:rsid w:val="00636083"/>
    <w:rsid w:val="00646A0A"/>
    <w:rsid w:val="00647ABC"/>
    <w:rsid w:val="00660569"/>
    <w:rsid w:val="006656FF"/>
    <w:rsid w:val="00677FAF"/>
    <w:rsid w:val="00694C63"/>
    <w:rsid w:val="006A0470"/>
    <w:rsid w:val="006A16AB"/>
    <w:rsid w:val="006A23A5"/>
    <w:rsid w:val="006D4B9B"/>
    <w:rsid w:val="00754902"/>
    <w:rsid w:val="00755C00"/>
    <w:rsid w:val="007A716C"/>
    <w:rsid w:val="007D1564"/>
    <w:rsid w:val="007D6E0B"/>
    <w:rsid w:val="007D71C6"/>
    <w:rsid w:val="00804066"/>
    <w:rsid w:val="00812A74"/>
    <w:rsid w:val="00813861"/>
    <w:rsid w:val="00820D8D"/>
    <w:rsid w:val="00834FEF"/>
    <w:rsid w:val="00837935"/>
    <w:rsid w:val="008404CE"/>
    <w:rsid w:val="00844B6C"/>
    <w:rsid w:val="00894E26"/>
    <w:rsid w:val="00895EA9"/>
    <w:rsid w:val="008A70CC"/>
    <w:rsid w:val="008D2F7D"/>
    <w:rsid w:val="008E3733"/>
    <w:rsid w:val="008E38E1"/>
    <w:rsid w:val="008F1E2A"/>
    <w:rsid w:val="009114D2"/>
    <w:rsid w:val="00921781"/>
    <w:rsid w:val="00931B82"/>
    <w:rsid w:val="00942C58"/>
    <w:rsid w:val="00992D08"/>
    <w:rsid w:val="009A3FDA"/>
    <w:rsid w:val="009D2A7D"/>
    <w:rsid w:val="009D3C59"/>
    <w:rsid w:val="009E164F"/>
    <w:rsid w:val="00A31F2C"/>
    <w:rsid w:val="00A51E05"/>
    <w:rsid w:val="00A76305"/>
    <w:rsid w:val="00AB2264"/>
    <w:rsid w:val="00AC3242"/>
    <w:rsid w:val="00AD347E"/>
    <w:rsid w:val="00AE60D8"/>
    <w:rsid w:val="00B04ABC"/>
    <w:rsid w:val="00B22E9B"/>
    <w:rsid w:val="00B41BD3"/>
    <w:rsid w:val="00B5422D"/>
    <w:rsid w:val="00B75ECA"/>
    <w:rsid w:val="00BE7D8B"/>
    <w:rsid w:val="00BF2769"/>
    <w:rsid w:val="00C15A55"/>
    <w:rsid w:val="00C81AAC"/>
    <w:rsid w:val="00CD5C09"/>
    <w:rsid w:val="00CE55E0"/>
    <w:rsid w:val="00D41D2B"/>
    <w:rsid w:val="00D440CB"/>
    <w:rsid w:val="00D471B9"/>
    <w:rsid w:val="00D56060"/>
    <w:rsid w:val="00DA7E2F"/>
    <w:rsid w:val="00DC46E4"/>
    <w:rsid w:val="00E00182"/>
    <w:rsid w:val="00E00D42"/>
    <w:rsid w:val="00E2245E"/>
    <w:rsid w:val="00E26A39"/>
    <w:rsid w:val="00E31BF5"/>
    <w:rsid w:val="00E54B03"/>
    <w:rsid w:val="00E728B4"/>
    <w:rsid w:val="00EE2FBC"/>
    <w:rsid w:val="00EF21FF"/>
    <w:rsid w:val="00F234F0"/>
    <w:rsid w:val="00F31AF9"/>
    <w:rsid w:val="00F3346D"/>
    <w:rsid w:val="00F35229"/>
    <w:rsid w:val="00F65B96"/>
    <w:rsid w:val="00F7387E"/>
    <w:rsid w:val="00F76D6D"/>
    <w:rsid w:val="00FA6EF9"/>
    <w:rsid w:val="00FC51A6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82</cp:revision>
  <dcterms:created xsi:type="dcterms:W3CDTF">2022-02-24T06:33:00Z</dcterms:created>
  <dcterms:modified xsi:type="dcterms:W3CDTF">2022-05-03T09:54:00Z</dcterms:modified>
</cp:coreProperties>
</file>